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9" w:rsidRDefault="00A36C29" w:rsidP="00B5052A">
      <w:pPr>
        <w:pStyle w:val="Podkapitola"/>
      </w:pPr>
      <w:bookmarkStart w:id="0" w:name="_Toc429589062"/>
      <w:r>
        <w:t>Měření momentu setrvačnosti prstence dynamickou metodou</w:t>
      </w:r>
      <w:bookmarkEnd w:id="0"/>
    </w:p>
    <w:p w:rsidR="00A36C29" w:rsidRDefault="00A36C29" w:rsidP="00A36C29">
      <w:r>
        <w:br/>
      </w:r>
      <w:r w:rsidRPr="001619D3">
        <w:rPr>
          <w:rFonts w:ascii="Times New Roman" w:hAnsi="Times New Roman" w:cs="Times New Roman"/>
        </w:rPr>
        <w:t>Online: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E755A">
          <w:rPr>
            <w:rStyle w:val="Hypertextovodkaz"/>
            <w:rFonts w:ascii="Times New Roman" w:hAnsi="Times New Roman" w:cs="Times New Roman"/>
          </w:rPr>
          <w:t>http://www.sclpx.eu/lab1R.php?exp=13</w:t>
        </w:r>
      </w:hyperlink>
      <w:r>
        <w:rPr>
          <w:rFonts w:ascii="Times New Roman" w:hAnsi="Times New Roman" w:cs="Times New Roman"/>
        </w:rPr>
        <w:t xml:space="preserve"> </w:t>
      </w:r>
    </w:p>
    <w:p w:rsidR="00A36C29" w:rsidRDefault="00A36C29" w:rsidP="00A36C29">
      <w:pPr>
        <w:pStyle w:val="Bntextrga"/>
        <w:spacing w:line="360" w:lineRule="auto"/>
        <w:ind w:firstLine="708"/>
        <w:jc w:val="both"/>
      </w:pPr>
      <w:r>
        <w:t xml:space="preserve">Tato úloha patří zejména svým teoretickým základem k nejobtížnějším. Pojem momentu setrvačnosti dělá žákům problémy sám o sobě a jeho odvození z kmitů prstence zavěšeného na vodorovné tyči patří spíše do speciálního semináře. Tuto úlohu jsme se rozhodli zařadit zejména proto, že zajímavým způsobem demonstruje dynamickou metodu měření fyzikální veličiny. </w:t>
      </w:r>
    </w:p>
    <w:p w:rsidR="00A36C29" w:rsidRDefault="00A36C29" w:rsidP="00A36C29">
      <w:pPr>
        <w:pStyle w:val="Bntextrga"/>
        <w:spacing w:line="360" w:lineRule="auto"/>
        <w:jc w:val="both"/>
      </w:pPr>
      <w:r>
        <w:tab/>
        <w:t xml:space="preserve">Pro vlastní měření má velký význam výběr prstence. Vzhledem k tomu, že k prstenci musíme připevnit špejli, která bude přerušovat laserový parsek, je výsledek měření ovlivněn hmotností špejle a narušením symetrie prstence. Proto je dobré volit takový prstenec, jehož hmotnost je několikanásobně větší než hmotnost špejle. My jsme nejprve vyzkoušeli kovový prstenec, který lze zakoupit v železářství jako nástavec pro kamna. Jeho nevýhodou je, že má na jednom konci „límec“, který také zkresluje výsledek měření. Lepší se nakonec ukázal papírový prstenec, který žáci vyrobili z tvrdé čtvrtky formátu A4. </w:t>
      </w:r>
    </w:p>
    <w:p w:rsidR="00A36C29" w:rsidRDefault="00A36C29" w:rsidP="00A36C29">
      <w:pPr>
        <w:pStyle w:val="Bntextrga"/>
        <w:spacing w:line="360" w:lineRule="auto"/>
        <w:ind w:firstLine="708"/>
        <w:jc w:val="both"/>
      </w:pPr>
      <w:r>
        <w:t>Tento experiment byl jedním ze tří heuristických experimentů, kterými jsme ověřovali konstruktivistické pojetí výuky fyziky. Žáci</w:t>
      </w:r>
      <w:r w:rsidRPr="001C7E50">
        <w:t xml:space="preserve"> provedli nejprve teoretický rozbor působících sil na daný oscilátor, následně zformulovali lineární difer</w:t>
      </w:r>
      <w:r>
        <w:t>enciální rovnici druhého řádu s </w:t>
      </w:r>
      <w:r w:rsidRPr="001C7E50">
        <w:t>konstantními koeficienty, ze které odvodili vztah pro periodu netlumených kmitů.</w:t>
      </w:r>
      <w:r>
        <w:t xml:space="preserve"> V </w:t>
      </w:r>
      <w:r w:rsidRPr="001C7E50">
        <w:t>experimentálním provedení jsme pak na základě teoretických vzorců pro výpočet periody kmitů navrhli určení velikosti jiné veličiny než periody, abychom učinili měření atraktivnější. V případě zkumavky ponořené do kapaliny žáci určovali z pe</w:t>
      </w:r>
      <w:r>
        <w:t>riody kmitů hustotu kapaliny, u </w:t>
      </w:r>
      <w:r w:rsidRPr="001C7E50">
        <w:t>kmitů prstence počítali poloměr prstence a vlastní moment setrvačnosti prstence, který porovnávali s teoretic</w:t>
      </w:r>
      <w:r>
        <w:t>ky vypočítanou hodnotou</w:t>
      </w:r>
      <w:r w:rsidRPr="001C7E50">
        <w:t xml:space="preserve"> a u oscilací vodního sloupce v U-trubici určovali koeficient tlumení, logaritmický dekrement útlumu a porovnávali vlastní periodu netlumených kmitů s periodou tlumených kmitů.</w:t>
      </w:r>
      <w:r>
        <w:t xml:space="preserve"> Experimentální výsledky byly publikovány v </w:t>
      </w:r>
      <w:r w:rsidRPr="00A36C29">
        <w:t>[32].</w:t>
      </w:r>
      <w:r w:rsidRPr="001C7E50">
        <w:t xml:space="preserve">  </w:t>
      </w:r>
    </w:p>
    <w:p w:rsidR="00B5052A" w:rsidRDefault="00A36C29" w:rsidP="00B5052A">
      <w:pPr>
        <w:pStyle w:val="Bntextrga"/>
        <w:spacing w:line="360" w:lineRule="auto"/>
        <w:ind w:firstLine="708"/>
        <w:jc w:val="both"/>
      </w:pPr>
      <w:r w:rsidRPr="001B487A">
        <w:t>Před vlastním cvičením je třeba věnovat minimálně jedno laboratorní cvičení přípravě experimentu, výrobě prstenců a nácviku správného rozkmitání prstence.</w:t>
      </w:r>
      <w:r w:rsidR="00B5052A">
        <w:t xml:space="preserve"> </w:t>
      </w:r>
    </w:p>
    <w:p w:rsidR="00A36C29" w:rsidRDefault="00A36C29" w:rsidP="00B5052A">
      <w:pPr>
        <w:pStyle w:val="Bntextrga"/>
        <w:spacing w:line="360" w:lineRule="auto"/>
        <w:ind w:firstLine="708"/>
        <w:jc w:val="both"/>
      </w:pPr>
      <w:r>
        <w:t>Stanovili jsme dále pracovní hypotézu</w:t>
      </w:r>
      <w:r w:rsidRPr="00DD3BEE">
        <w:t xml:space="preserve">, že vlivem připevněné špejle (a u papírového prstence i vlivem jeho nízké hmotnosti) bude relativní </w:t>
      </w:r>
      <w:r w:rsidR="00B5052A">
        <w:t>nejistota</w:t>
      </w:r>
      <w:r>
        <w:t xml:space="preserve"> měření větší než 10 %, a tedy </w:t>
      </w:r>
      <w:r w:rsidRPr="00DD3BEE">
        <w:lastRenderedPageBreak/>
        <w:t>tento experiment patří spíše do oblasti teoretického procvičení a pro experimentální ověření fyzikální veličiny, jako je např. moment setrvačnosti prstence, se nehodí.</w:t>
      </w:r>
    </w:p>
    <w:p w:rsidR="00A36C29" w:rsidRDefault="00A36C29" w:rsidP="00A36C29">
      <w:pPr>
        <w:pStyle w:val="Bntextrga"/>
        <w:spacing w:line="360" w:lineRule="auto"/>
        <w:jc w:val="both"/>
      </w:pPr>
      <w:r w:rsidRPr="00C7395C">
        <w:rPr>
          <w:b/>
        </w:rPr>
        <w:t>Úvod</w:t>
      </w:r>
    </w:p>
    <w:p w:rsidR="00A36C29" w:rsidRDefault="00A36C29" w:rsidP="00A36C29">
      <w:pPr>
        <w:pStyle w:val="Bntextrga"/>
        <w:spacing w:line="360" w:lineRule="auto"/>
        <w:jc w:val="both"/>
      </w:pPr>
      <w:r w:rsidRPr="00FA0C92">
        <w:t>Prstenec o poloměru R je zavěšen na vodorovné tyči, jejíž poloměr můžeme vůči poloměru prstence zanedbat.</w:t>
      </w:r>
      <w:r>
        <w:t xml:space="preserve"> Situace je znázorněna na obrázku 1.6.1.</w:t>
      </w:r>
    </w:p>
    <w:p w:rsidR="00A36C29" w:rsidRDefault="00A36C29" w:rsidP="00A36C29">
      <w:pPr>
        <w:pStyle w:val="Bntextrga"/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38822A7D" wp14:editId="74A4CF4E">
            <wp:extent cx="1800000" cy="1800000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.3-kmity-prstenec-rozbor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C29" w:rsidRPr="007A2BCA" w:rsidRDefault="00A36C29" w:rsidP="00A36C29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1.6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1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Rozbor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>momentu setrvačnosti prstence</w:t>
      </w:r>
    </w:p>
    <w:p w:rsidR="00A36C29" w:rsidRDefault="00A36C29" w:rsidP="00A36C29">
      <w:pPr>
        <w:pStyle w:val="Bntextrga"/>
        <w:spacing w:line="360" w:lineRule="auto"/>
      </w:pPr>
    </w:p>
    <w:p w:rsidR="00A36C29" w:rsidRPr="003C4D27" w:rsidRDefault="00A36C29" w:rsidP="00A36C29">
      <w:pPr>
        <w:pStyle w:val="Bntextrga"/>
        <w:spacing w:line="360" w:lineRule="auto"/>
        <w:jc w:val="both"/>
      </w:pPr>
      <w:r w:rsidRPr="003C4D27">
        <w:t xml:space="preserve">Prstenec (tenká obruč) zavěšený na vodorovné tyči představuje fyzické kyvadlo. Zde zavádíme místo výchylky </w:t>
      </w:r>
      <m:oMath>
        <m:r>
          <w:rPr>
            <w:rFonts w:ascii="Cambria Math" w:hAnsi="Cambria Math"/>
          </w:rPr>
          <m:t>y</m:t>
        </m:r>
      </m:oMath>
      <w:r w:rsidRPr="003C4D27">
        <w:t xml:space="preserve"> úhlovou výchylku </w:t>
      </w:r>
      <m:oMath>
        <m:r>
          <w:rPr>
            <w:rFonts w:ascii="Cambria Math" w:hAnsi="Cambria Math"/>
          </w:rPr>
          <m:t>φ</m:t>
        </m:r>
      </m:oMath>
      <w:r w:rsidRPr="003C4D27">
        <w:t>, pro kterou můžeme na základě pohybové rovnice otáčivéh</w:t>
      </w:r>
      <w:r>
        <w:t>o pohybu zformulovat rovnici (1.6.1)</w:t>
      </w:r>
      <w:r w:rsidRPr="003C4D27">
        <w:t xml:space="preserve">, viz </w:t>
      </w:r>
      <w:r w:rsidRPr="00A36C29">
        <w:t>[82]:</w:t>
      </w:r>
    </w:p>
    <w:p w:rsidR="00A36C29" w:rsidRPr="003C4D27" w:rsidRDefault="00A36C29" w:rsidP="00A36C29">
      <w:pPr>
        <w:pStyle w:val="Bntextrga"/>
        <w:spacing w:line="360" w:lineRule="auto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J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φ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r>
            <w:rPr>
              <w:rFonts w:ascii="Cambria Math" w:hAnsi="Cambria Math"/>
            </w:rPr>
            <m:t>=- mgd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φ</m:t>
              </m:r>
            </m:e>
          </m:func>
          <m:r>
            <w:rPr>
              <w:rFonts w:ascii="Cambria Math" w:hAnsi="Cambria Math"/>
            </w:rPr>
            <m:t>≐-mgdφ=-Dφ                                 (1.6.1)</m:t>
          </m:r>
        </m:oMath>
      </m:oMathPara>
    </w:p>
    <w:p w:rsidR="00A36C29" w:rsidRPr="003C4D27" w:rsidRDefault="00A36C29" w:rsidP="00A36C29">
      <w:pPr>
        <w:pStyle w:val="Bntextrga"/>
        <w:spacing w:line="360" w:lineRule="auto"/>
      </w:pPr>
      <w:r w:rsidRPr="003C4D27">
        <w:t>Vztah (16) pak můžeme upravit na klasick</w:t>
      </w:r>
      <w:r>
        <w:t>ý tvar diferenciální rovnice (1.6.2)</w:t>
      </w:r>
    </w:p>
    <w:p w:rsidR="00A36C29" w:rsidRPr="003C4D27" w:rsidRDefault="00B070E1" w:rsidP="00A36C29">
      <w:pPr>
        <w:pStyle w:val="Bntextrga"/>
        <w:spacing w:line="360" w:lineRule="auto"/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φ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J</m:t>
              </m:r>
            </m:den>
          </m:f>
          <m:r>
            <w:rPr>
              <w:rFonts w:ascii="Cambria Math" w:hAnsi="Cambria Math"/>
            </w:rPr>
            <m:t>φ=0,                                                                   (1.6.2)</m:t>
          </m:r>
        </m:oMath>
      </m:oMathPara>
    </w:p>
    <w:p w:rsidR="00A36C29" w:rsidRPr="003C4D27" w:rsidRDefault="00A36C29" w:rsidP="00A36C29">
      <w:pPr>
        <w:pStyle w:val="Bntextrga"/>
        <w:spacing w:line="360" w:lineRule="auto"/>
        <w:jc w:val="both"/>
      </w:pPr>
      <w:r w:rsidRPr="003C4D27">
        <w:t xml:space="preserve">kde </w:t>
      </w:r>
      <m:oMath>
        <m:r>
          <w:rPr>
            <w:rFonts w:ascii="Cambria Math" w:hAnsi="Cambria Math"/>
          </w:rPr>
          <m:t>J=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C4D27">
        <w:t xml:space="preserve"> je moment setrvačnosti fyzického kyvadla (prstence) vzhledem k ose otáčení neprocházející těžištěm tělesa, </w:t>
      </w:r>
      <m:oMath>
        <m:r>
          <w:rPr>
            <w:rFonts w:ascii="Cambria Math" w:hAnsi="Cambria Math"/>
          </w:rPr>
          <m:t>D=mgd</m:t>
        </m:r>
      </m:oMath>
      <w:r w:rsidRPr="003C4D27">
        <w:t xml:space="preserve"> je tzv. direkční moment kyvadla, </w:t>
      </w:r>
      <m:oMath>
        <m:r>
          <w:rPr>
            <w:rFonts w:ascii="Cambria Math" w:hAnsi="Cambria Math"/>
          </w:rPr>
          <m:t>m</m:t>
        </m:r>
      </m:oMath>
      <w:r w:rsidRPr="003C4D27">
        <w:t xml:space="preserve"> je hmotnost kyvadla, </w:t>
      </w:r>
      <m:oMath>
        <m:r>
          <w:rPr>
            <w:rFonts w:ascii="Cambria Math" w:hAnsi="Cambria Math"/>
          </w:rPr>
          <m:t>d</m:t>
        </m:r>
      </m:oMath>
      <w:r w:rsidRPr="003C4D27">
        <w:t xml:space="preserve"> je vzdálenost osy otáčení od těžiště kyvadla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r w:rsidRPr="003C4D27">
        <w:t xml:space="preserve">je moment setrvačnosti kyvadla vzhledem k ose otáčení procházející těžištěm tělesa. Pro tenký prstenec platí pro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vztah (1.6.3</w:t>
      </w:r>
      <w:r w:rsidRPr="003C4D27">
        <w:t>)</w:t>
      </w:r>
      <w:r>
        <w:t>:</w:t>
      </w:r>
    </w:p>
    <w:p w:rsidR="00A36C29" w:rsidRPr="003C4D27" w:rsidRDefault="00B070E1" w:rsidP="00A36C29">
      <w:pPr>
        <w:pStyle w:val="Bntextrga"/>
        <w:spacing w:line="360" w:lineRule="auto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                                                               (1.6.3)</m:t>
          </m:r>
        </m:oMath>
      </m:oMathPara>
    </w:p>
    <w:p w:rsidR="00A36C29" w:rsidRPr="003C4D27" w:rsidRDefault="00A36C29" w:rsidP="00A36C29">
      <w:pPr>
        <w:pStyle w:val="Bntextrga"/>
        <w:spacing w:line="360" w:lineRule="auto"/>
      </w:pPr>
      <w:r w:rsidRPr="003C4D27">
        <w:t xml:space="preserve">Z rovnice </w:t>
      </w:r>
      <w:r>
        <w:t>(1.6.2) pak můžeme určit vztahy (1.6.4</w:t>
      </w:r>
      <w:r w:rsidRPr="003C4D27">
        <w:t>) pro vlastní frekvenci a periodu kyvadla</w:t>
      </w:r>
    </w:p>
    <w:p w:rsidR="00A36C29" w:rsidRPr="003C4D27" w:rsidRDefault="00B070E1" w:rsidP="00A36C29">
      <w:pPr>
        <w:pStyle w:val="Bntextrga"/>
        <w:spacing w:line="360" w:lineRule="auto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mgd</m:t>
                  </m:r>
                </m:num>
                <m:den>
                  <m:r>
                    <w:rPr>
                      <w:rFonts w:ascii="Cambria Math" w:hAnsi="Cambria Math"/>
                    </w:rPr>
                    <m:t>J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mgd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,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</w:rPr>
                    <m:t>mgd</m:t>
                  </m:r>
                </m:den>
              </m:f>
            </m:e>
          </m:rad>
          <m:r>
            <w:rPr>
              <w:rFonts w:ascii="Cambria Math" w:hAnsi="Cambria Math"/>
            </w:rPr>
            <m:t>= 2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mgd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                  (1.6.4)</m:t>
          </m:r>
        </m:oMath>
      </m:oMathPara>
    </w:p>
    <w:p w:rsidR="00A36C29" w:rsidRPr="003C4D27" w:rsidRDefault="00A36C29" w:rsidP="00A36C29">
      <w:pPr>
        <w:pStyle w:val="Bntextrga"/>
        <w:spacing w:line="360" w:lineRule="auto"/>
      </w:pPr>
    </w:p>
    <w:p w:rsidR="00A36C29" w:rsidRPr="003C4D27" w:rsidRDefault="00A36C29" w:rsidP="00A36C29">
      <w:pPr>
        <w:pStyle w:val="Bntextrga"/>
        <w:spacing w:line="360" w:lineRule="auto"/>
      </w:pPr>
      <w:r w:rsidRPr="003C4D27">
        <w:t xml:space="preserve">které můžeme v případě prstence, u kterého platí </w:t>
      </w:r>
      <m:oMath>
        <m:r>
          <w:rPr>
            <w:rFonts w:ascii="Cambria Math" w:hAnsi="Cambria Math"/>
          </w:rPr>
          <m:t>d=R</m:t>
        </m:r>
      </m:oMath>
      <w:r>
        <w:t>, zredukovat na tvar (1.6.5</w:t>
      </w:r>
      <w:r w:rsidRPr="003C4D27">
        <w:t>)</w:t>
      </w:r>
      <w:r>
        <w:t>:</w:t>
      </w:r>
    </w:p>
    <w:p w:rsidR="00A36C29" w:rsidRPr="003C4D27" w:rsidRDefault="00B070E1" w:rsidP="00A36C29">
      <w:pPr>
        <w:pStyle w:val="Bntextrga"/>
        <w:spacing w:line="360" w:lineRule="auto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</w:rPr>
                    <m:t>2R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,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2R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                                           (1.6.5)</m:t>
          </m:r>
        </m:oMath>
      </m:oMathPara>
    </w:p>
    <w:p w:rsidR="00A36C29" w:rsidRPr="003C4D27" w:rsidRDefault="00A36C29" w:rsidP="00A36C29">
      <w:pPr>
        <w:pStyle w:val="Bntextrga"/>
        <w:spacing w:line="360" w:lineRule="auto"/>
      </w:pPr>
    </w:p>
    <w:p w:rsidR="00A36C29" w:rsidRPr="00DD41E0" w:rsidRDefault="00A36C29" w:rsidP="00A36C29">
      <w:pPr>
        <w:pStyle w:val="Bntextrga"/>
        <w:spacing w:line="360" w:lineRule="auto"/>
        <w:jc w:val="both"/>
      </w:pPr>
      <w:r>
        <w:t>Rovnice (1.6.4) a (1.6.5</w:t>
      </w:r>
      <w:r w:rsidRPr="003C4D27">
        <w:t xml:space="preserve">) využijeme v experimentální části k výpočtu </w:t>
      </w:r>
      <w:r>
        <w:t>periody</w:t>
      </w:r>
      <w:r w:rsidRPr="003C4D27">
        <w:t xml:space="preserve"> prstence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C4D27">
        <w:t xml:space="preserve"> a momentu setrvačnosti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C4D27">
        <w:t xml:space="preserve">. Tyto experimentálně zjištěné hodnoty pak budeme porovnávat s  teoretickým výpočtem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ze vztahu (1.6.3</w:t>
      </w:r>
      <w:r w:rsidRPr="003C4D27">
        <w:t>).</w:t>
      </w:r>
    </w:p>
    <w:p w:rsidR="00A36C29" w:rsidRDefault="00A36C29" w:rsidP="00A36C2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monogate, kovový a papírový prstenec, izolepa, špejle, dřevěná tyč o průměru 8 mm nebo 10 mm, digitální váhy, stativový materiál</w:t>
      </w:r>
    </w:p>
    <w:p w:rsidR="00A36C29" w:rsidRDefault="00A36C29" w:rsidP="00A36C29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A36C29" w:rsidRDefault="00A36C29" w:rsidP="00A36C29">
      <w:pPr>
        <w:pStyle w:val="Bntextrga"/>
        <w:spacing w:line="360" w:lineRule="auto"/>
        <w:jc w:val="both"/>
      </w:pPr>
      <w:r>
        <w:t>Nejprve na digitálních váhách změříme hmotnost prstence a jeho poloměr</w:t>
      </w:r>
      <w:r w:rsidRPr="00CD290F">
        <w:t xml:space="preserve"> z </w:t>
      </w:r>
      <w:r>
        <w:t>průměru, který</w:t>
      </w:r>
      <w:r w:rsidRPr="00CD290F">
        <w:t xml:space="preserve"> </w:t>
      </w:r>
      <w:r>
        <w:t>změříme</w:t>
      </w:r>
      <w:r w:rsidRPr="00CD290F">
        <w:t xml:space="preserve"> pomocí posuvného měřidla.</w:t>
      </w:r>
      <w:r>
        <w:t xml:space="preserve"> Potom ke kovovému nebo papírovému prstenci, který vyrobíme ze čtvrtky tvrdého papíru A4, připevníme pomocí izolepy krátký kousek špejle tak, aby při kmitání prstence docházelo k přerušování laserového paprsku. </w:t>
      </w:r>
    </w:p>
    <w:p w:rsidR="00A36C29" w:rsidRDefault="00A36C29" w:rsidP="00A36C29">
      <w:pPr>
        <w:pStyle w:val="Bntextrga"/>
        <w:spacing w:line="360" w:lineRule="auto"/>
        <w:ind w:firstLine="709"/>
        <w:jc w:val="both"/>
      </w:pPr>
      <w:r>
        <w:t>Monogate umístíme vertikálně, prstenec zavěsíme na kraj tyče a několikrát ho vyzkoušíme rozkmitat. Experimentální uspořádání je na obrázku 1.6.2.</w:t>
      </w:r>
    </w:p>
    <w:p w:rsidR="00A36C29" w:rsidRDefault="00A36C29" w:rsidP="00A36C29">
      <w:pPr>
        <w:pStyle w:val="Bntextrga"/>
        <w:spacing w:line="360" w:lineRule="auto"/>
        <w:ind w:firstLine="709"/>
        <w:jc w:val="both"/>
      </w:pPr>
      <w:r>
        <w:t>Prstenec rozkmitáme a ve FAE provedeme záznam signálu. Oscilogram kmitů můžeme vidět na obrázku 1.6.3.</w:t>
      </w:r>
    </w:p>
    <w:p w:rsidR="00A36C29" w:rsidRDefault="00A36C29" w:rsidP="00A36C29">
      <w:pPr>
        <w:pStyle w:val="Bntextrga"/>
        <w:spacing w:line="360" w:lineRule="auto"/>
        <w:ind w:firstLine="709"/>
        <w:jc w:val="both"/>
      </w:pPr>
      <w:r w:rsidRPr="00CD290F">
        <w:t xml:space="preserve">Experimentálně zjištěné hodnoty pro kovový prstenec </w:t>
      </w:r>
      <w:r>
        <w:t>jsou uvedeny v tabulce 1.6.1, pro papírový v tabulce 1.6.2</w:t>
      </w:r>
      <w:r w:rsidRPr="00CD290F">
        <w:t xml:space="preserve">. Kovový prstenec o poloměru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65±1</m:t>
            </m:r>
          </m:e>
        </m:d>
      </m:oMath>
      <w:r w:rsidRPr="00CD290F">
        <w:t xml:space="preserve"> mm měl hmotnost </w:t>
      </w:r>
      <w:r w:rsidRPr="00CD290F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143,2±0,5</m:t>
            </m:r>
          </m:e>
        </m:d>
      </m:oMath>
      <w:r w:rsidRPr="00CD290F">
        <w:t xml:space="preserve"> g, papírový o poloměru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45±2</m:t>
            </m:r>
          </m:e>
        </m:d>
      </m:oMath>
      <w:r w:rsidRPr="00CD290F">
        <w:t xml:space="preserve"> mm vážil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12,1±0,5</m:t>
            </m:r>
          </m:e>
        </m:d>
      </m:oMath>
      <w:r w:rsidRPr="00CD290F">
        <w:t xml:space="preserve">g, přičemž hmotnost </w:t>
      </w:r>
      <w:r>
        <w:t>měříme</w:t>
      </w:r>
      <w:r w:rsidRPr="00CD290F">
        <w:t xml:space="preserve"> digitálními váhami bez připevněné špejle. Hmotnost špejle </w:t>
      </w:r>
      <w:r>
        <w:t>považujeme</w:t>
      </w:r>
      <w:r w:rsidRPr="00CD290F">
        <w:t xml:space="preserve"> vzhledem k hmotnosti prstenců za zanedbatelnou.</w:t>
      </w:r>
    </w:p>
    <w:p w:rsidR="00A36C29" w:rsidRDefault="00A36C29" w:rsidP="00A36C29">
      <w:pPr>
        <w:pStyle w:val="Bntextrga"/>
        <w:spacing w:line="360" w:lineRule="auto"/>
        <w:jc w:val="both"/>
      </w:pPr>
    </w:p>
    <w:p w:rsidR="00A36C29" w:rsidRPr="00584B54" w:rsidRDefault="00A36C29" w:rsidP="00A36C29">
      <w:pPr>
        <w:pStyle w:val="Bntextrga"/>
        <w:spacing w:line="360" w:lineRule="auto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71B1D1A1" wp14:editId="4DC3F5B7">
            <wp:extent cx="5760085" cy="3239770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5_moment_setrvacnosti_prste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eastAsiaTheme="minorEastAsia"/>
          <w:sz w:val="20"/>
          <w:szCs w:val="20"/>
        </w:rPr>
        <w:t>Obr. 1.6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2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Uspořádání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>momentu setrvačnosti prstence</w:t>
      </w:r>
    </w:p>
    <w:p w:rsidR="00A36C29" w:rsidRDefault="00A36C29" w:rsidP="00A36C29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71B63A6E" wp14:editId="76EC7CB4">
            <wp:extent cx="5760085" cy="3239770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5_oscilogram_kmity_prst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C29" w:rsidRPr="007A2BCA" w:rsidRDefault="00A36C29" w:rsidP="00A36C29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1.6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3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Oscilogram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>momentu setrvačnosti prstence</w:t>
      </w:r>
    </w:p>
    <w:p w:rsidR="00A36C29" w:rsidRDefault="00A36C29" w:rsidP="00A36C29">
      <w:pPr>
        <w:pStyle w:val="Bntextrga"/>
        <w:spacing w:line="360" w:lineRule="auto"/>
        <w:ind w:firstLine="709"/>
        <w:jc w:val="both"/>
      </w:pPr>
      <w:r>
        <w:t>Ze zjištěné hodnoty periody kmitů</w:t>
      </w:r>
      <w:r w:rsidRPr="00CD290F">
        <w:t xml:space="preserve"> v programu F</w:t>
      </w:r>
      <w:r>
        <w:t>AE (mezi prvníma třetím píkem) můžeme ze vztahu (1.6.4</w:t>
      </w:r>
      <w:r w:rsidRPr="00CD290F">
        <w:t xml:space="preserve">) vypočítat nejprve moment setrvačnosti </w:t>
      </w:r>
      <m:oMath>
        <m:r>
          <w:rPr>
            <w:rFonts w:ascii="Cambria Math" w:hAnsi="Cambria Math"/>
          </w:rPr>
          <m:t>J</m:t>
        </m:r>
      </m:oMath>
      <w:r w:rsidRPr="00CD290F">
        <w:t xml:space="preserve"> prstence vzhledem k ose otáčení, která neprochází těžištěm, a pak ze vztahu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=J-</m:t>
        </m:r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D290F">
        <w:t xml:space="preserve"> i moment setrvačnosti vzhledem k ose otáčení procházející těžištěm prstence. Tuto hodnotu pak </w:t>
      </w:r>
      <w:r>
        <w:t xml:space="preserve">porovnáme </w:t>
      </w:r>
      <w:r w:rsidRPr="00CD290F">
        <w:t>s teoreticky vypočítanou hodnotou z formule</w:t>
      </w:r>
      <w:r>
        <w:t xml:space="preserve"> (1.6.3</w:t>
      </w:r>
      <w:r w:rsidRPr="00CD290F">
        <w:t>).</w:t>
      </w:r>
      <w:bookmarkStart w:id="1" w:name="_GoBack"/>
      <w:bookmarkEnd w:id="1"/>
    </w:p>
    <w:p w:rsidR="00A36C29" w:rsidRPr="000B2684" w:rsidRDefault="00A36C29" w:rsidP="00A36C2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cs-CZ"/>
        </w:rPr>
      </w:pPr>
      <w:r w:rsidRPr="000B2684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lastRenderedPageBreak/>
        <w:t xml:space="preserve">Tabulka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1.6.1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Určení </w:t>
      </w:r>
      <w:r w:rsidRPr="000B2684">
        <w:rPr>
          <w:rFonts w:ascii="Times New Roman" w:eastAsiaTheme="minorEastAsia" w:hAnsi="Times New Roman" w:cs="Times New Roman"/>
          <w:sz w:val="24"/>
          <w:szCs w:val="24"/>
          <w:lang w:eastAsia="cs-CZ"/>
        </w:rPr>
        <w:t>momentu setrvačnosti kovového prstence</w:t>
      </w:r>
    </w:p>
    <w:tbl>
      <w:tblPr>
        <w:tblStyle w:val="Mkatabulky1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9"/>
      </w:tblGrid>
      <w:tr w:rsidR="00A36C29" w:rsidRPr="000B2684" w:rsidTr="00384E88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materiál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:rsidR="00A36C29" w:rsidRPr="000B2684" w:rsidRDefault="00A36C29" w:rsidP="00384E8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T</m:t>
              </m:r>
            </m:oMath>
            <w:r w:rsidRPr="000B2684">
              <w:t xml:space="preserve"> (s)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:rsidR="00A36C29" w:rsidRPr="000B2684" w:rsidRDefault="00A36C29" w:rsidP="00384E8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J</m:t>
              </m:r>
            </m:oMath>
            <w:r w:rsidRPr="000B2684">
              <w:t xml:space="preserve"> (</w:t>
            </w:r>
            <m:oMath>
              <m:r>
                <w:rPr>
                  <w:rFonts w:ascii="Cambria Math" w:hAnsi="Cambria Math"/>
                </w:rPr>
                <m:t>∙1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</m:oMath>
            <w:r>
              <w:t xml:space="preserve"> </w:t>
            </w:r>
            <w:r w:rsidRPr="000B2684">
              <w:t>kg</w:t>
            </w:r>
            <w:r>
              <w:t xml:space="preserve"> ∙</w:t>
            </w:r>
            <w:r w:rsidRPr="000B2684">
              <w:t xml:space="preserve"> m</w:t>
            </w:r>
            <w:r w:rsidRPr="000B2684">
              <w:rPr>
                <w:vertAlign w:val="superscript"/>
              </w:rPr>
              <w:t>2</w:t>
            </w:r>
            <w:r w:rsidRPr="000B2684">
              <w:t>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:rsidR="00A36C29" w:rsidRPr="000B2684" w:rsidRDefault="00B070E1" w:rsidP="00384E88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A36C29" w:rsidRPr="000B2684">
              <w:t xml:space="preserve"> (</w:t>
            </w:r>
            <m:oMath>
              <m:r>
                <w:rPr>
                  <w:rFonts w:ascii="Cambria Math" w:hAnsi="Cambria Math"/>
                </w:rPr>
                <m:t>∙1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</m:oMath>
            <w:r w:rsidR="00A36C29">
              <w:t xml:space="preserve"> </w:t>
            </w:r>
            <w:r w:rsidR="00A36C29" w:rsidRPr="000B2684">
              <w:t xml:space="preserve">kg </w:t>
            </w:r>
            <w:r w:rsidR="00A36C29">
              <w:t xml:space="preserve">∙ </w:t>
            </w:r>
            <w:r w:rsidR="00A36C29" w:rsidRPr="000B2684">
              <w:t>m</w:t>
            </w:r>
            <w:r w:rsidR="00A36C29" w:rsidRPr="000B2684">
              <w:rPr>
                <w:vertAlign w:val="superscript"/>
              </w:rPr>
              <w:t>2</w:t>
            </w:r>
            <w:r w:rsidR="00A36C29" w:rsidRPr="000B2684">
              <w:t>)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689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99</w:t>
            </w:r>
            <w:r>
              <w:t>,</w:t>
            </w:r>
            <w:r w:rsidRPr="000B2684">
              <w:t>8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49</w:t>
            </w:r>
            <w:r>
              <w:t>,</w:t>
            </w:r>
            <w:r w:rsidRPr="000B2684">
              <w:t>9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690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100</w:t>
            </w:r>
            <w:r>
              <w:t>,</w:t>
            </w:r>
            <w:r w:rsidRPr="000B2684">
              <w:t>4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50</w:t>
            </w:r>
            <w:r>
              <w:t>,</w:t>
            </w:r>
            <w:r w:rsidRPr="000B2684">
              <w:t>2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690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100</w:t>
            </w:r>
            <w:r>
              <w:t>,</w:t>
            </w:r>
            <w:r w:rsidRPr="000B2684">
              <w:t>4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50</w:t>
            </w:r>
            <w:r>
              <w:t>,</w:t>
            </w:r>
            <w:r w:rsidRPr="000B2684">
              <w:t>2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687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98</w:t>
            </w:r>
            <w:r>
              <w:t>,</w:t>
            </w:r>
            <w:r w:rsidRPr="000B2684">
              <w:t>7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49</w:t>
            </w:r>
            <w:r>
              <w:t>,</w:t>
            </w:r>
            <w:r w:rsidRPr="000B2684">
              <w:t>3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691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101</w:t>
            </w:r>
            <w:r>
              <w:t>,</w:t>
            </w:r>
            <w:r w:rsidRPr="000B2684">
              <w:t>0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50</w:t>
            </w:r>
            <w:r>
              <w:t>,</w:t>
            </w:r>
            <w:r w:rsidRPr="000B2684">
              <w:t>5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689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99</w:t>
            </w:r>
            <w:r>
              <w:t>,</w:t>
            </w:r>
            <w:r w:rsidRPr="000B2684">
              <w:t>8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49</w:t>
            </w:r>
            <w:r>
              <w:t>,</w:t>
            </w:r>
            <w:r w:rsidRPr="000B2684">
              <w:t>9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686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98</w:t>
            </w:r>
            <w:r>
              <w:t>,</w:t>
            </w:r>
            <w:r w:rsidRPr="000B2684">
              <w:t>1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49</w:t>
            </w:r>
            <w:r>
              <w:t>,</w:t>
            </w:r>
            <w:r w:rsidRPr="000B2684">
              <w:t>1</w:t>
            </w:r>
          </w:p>
        </w:tc>
      </w:tr>
      <w:tr w:rsidR="00A36C29" w:rsidRPr="000B2684" w:rsidTr="00384E88">
        <w:trPr>
          <w:trHeight w:val="366"/>
          <w:jc w:val="center"/>
        </w:trPr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 w:rsidRPr="000B2684">
              <w:t>Kov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120"/>
              <w:jc w:val="center"/>
            </w:pPr>
            <w:r>
              <w:t>0,</w:t>
            </w:r>
            <w:r w:rsidRPr="000B2684">
              <w:t>685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97</w:t>
            </w:r>
            <w:r>
              <w:t>,</w:t>
            </w:r>
            <w:r w:rsidRPr="000B2684">
              <w:t>5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36C29" w:rsidRPr="000B2684" w:rsidRDefault="00A36C29" w:rsidP="00384E88">
            <w:pPr>
              <w:spacing w:after="200"/>
              <w:jc w:val="center"/>
            </w:pPr>
            <w:r w:rsidRPr="000B2684">
              <w:t>48</w:t>
            </w:r>
            <w:r>
              <w:t>,</w:t>
            </w:r>
            <w:r w:rsidRPr="000B2684">
              <w:t>8</w:t>
            </w:r>
          </w:p>
        </w:tc>
      </w:tr>
    </w:tbl>
    <w:p w:rsidR="00A36C29" w:rsidRDefault="00A36C29" w:rsidP="00A36C29">
      <w:pPr>
        <w:pStyle w:val="Bntextrga"/>
        <w:spacing w:line="360" w:lineRule="auto"/>
        <w:jc w:val="both"/>
      </w:pPr>
    </w:p>
    <w:p w:rsidR="00A36C29" w:rsidRPr="00C45FA7" w:rsidRDefault="00A36C29" w:rsidP="00A36C2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cs-CZ"/>
        </w:rPr>
      </w:pPr>
      <w:r w:rsidRPr="00C45FA7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Tabulka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1.6.2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Určení </w:t>
      </w:r>
      <w:r w:rsidRPr="00C45FA7">
        <w:rPr>
          <w:rFonts w:ascii="Times New Roman" w:eastAsiaTheme="minorEastAsia" w:hAnsi="Times New Roman" w:cs="Times New Roman"/>
          <w:sz w:val="24"/>
          <w:szCs w:val="24"/>
          <w:lang w:eastAsia="cs-CZ"/>
        </w:rPr>
        <w:t>momentu setrvačnosti papírového prstence</w:t>
      </w:r>
    </w:p>
    <w:tbl>
      <w:tblPr>
        <w:tblStyle w:val="Mkatabulky2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9"/>
      </w:tblGrid>
      <w:tr w:rsidR="00A36C29" w:rsidRPr="00C45FA7" w:rsidTr="00384E88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materiál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A36C29" w:rsidRPr="00C45FA7" w:rsidRDefault="00A36C29" w:rsidP="00384E8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T</m:t>
              </m:r>
            </m:oMath>
            <w:r w:rsidRPr="00C45FA7">
              <w:t xml:space="preserve"> (s)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A36C29" w:rsidRPr="00C45FA7" w:rsidRDefault="00A36C29" w:rsidP="00384E8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J</m:t>
              </m:r>
            </m:oMath>
            <w:r w:rsidRPr="00C45FA7">
              <w:t xml:space="preserve"> (</w:t>
            </w:r>
            <m:oMath>
              <m:r>
                <w:rPr>
                  <w:rFonts w:ascii="Cambria Math" w:hAnsi="Cambria Math"/>
                </w:rPr>
                <m:t>∙1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</m:oMath>
            <w:r>
              <w:t xml:space="preserve"> </w:t>
            </w:r>
            <w:r w:rsidRPr="00C45FA7">
              <w:t xml:space="preserve">kg </w:t>
            </w:r>
            <w:r>
              <w:t xml:space="preserve">∙ </w:t>
            </w:r>
            <w:r w:rsidRPr="00C45FA7">
              <w:t>m</w:t>
            </w:r>
            <w:r w:rsidRPr="00C45FA7">
              <w:rPr>
                <w:vertAlign w:val="superscript"/>
              </w:rPr>
              <w:t>2</w:t>
            </w:r>
            <w:r w:rsidRPr="00C45FA7">
              <w:t>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A36C29" w:rsidRPr="00C45FA7" w:rsidRDefault="00B070E1" w:rsidP="00384E88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A36C29">
              <w:t>(</w:t>
            </w:r>
            <m:oMath>
              <m:r>
                <w:rPr>
                  <w:rFonts w:ascii="Cambria Math" w:hAnsi="Cambria Math"/>
                </w:rPr>
                <m:t>∙1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</m:oMath>
            <w:r w:rsidR="00A36C29">
              <w:t xml:space="preserve"> kg ∙ </w:t>
            </w:r>
            <w:r w:rsidR="00A36C29" w:rsidRPr="00C45FA7">
              <w:t>m</w:t>
            </w:r>
            <w:r w:rsidR="00A36C29" w:rsidRPr="00C45FA7">
              <w:rPr>
                <w:vertAlign w:val="superscript"/>
              </w:rPr>
              <w:t>2</w:t>
            </w:r>
            <w:r w:rsidR="00A36C29" w:rsidRPr="00C45FA7">
              <w:t>)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  <w:tcBorders>
              <w:top w:val="single" w:sz="4" w:space="0" w:color="auto"/>
            </w:tcBorders>
            <w:tcMar>
              <w:top w:w="85" w:type="dxa"/>
            </w:tcMar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85" w:type="dxa"/>
            </w:tcMar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612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85" w:type="dxa"/>
            </w:tcMar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2,5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85" w:type="dxa"/>
            </w:tcMar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26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609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1,5</w:t>
            </w:r>
          </w:p>
        </w:tc>
        <w:tc>
          <w:tcPr>
            <w:tcW w:w="1815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26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611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2,2</w:t>
            </w:r>
          </w:p>
        </w:tc>
        <w:tc>
          <w:tcPr>
            <w:tcW w:w="1815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26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610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1,8</w:t>
            </w:r>
          </w:p>
        </w:tc>
        <w:tc>
          <w:tcPr>
            <w:tcW w:w="1815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26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610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1,8</w:t>
            </w:r>
          </w:p>
        </w:tc>
        <w:tc>
          <w:tcPr>
            <w:tcW w:w="1815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26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612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2,5</w:t>
            </w:r>
          </w:p>
        </w:tc>
        <w:tc>
          <w:tcPr>
            <w:tcW w:w="1815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26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605</w:t>
            </w:r>
          </w:p>
        </w:tc>
        <w:tc>
          <w:tcPr>
            <w:tcW w:w="1814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0,2</w:t>
            </w:r>
          </w:p>
        </w:tc>
        <w:tc>
          <w:tcPr>
            <w:tcW w:w="1815" w:type="dxa"/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25</w:t>
            </w:r>
          </w:p>
        </w:tc>
      </w:tr>
      <w:tr w:rsidR="00A36C29" w:rsidRPr="00C45FA7" w:rsidTr="00384E88">
        <w:trPr>
          <w:trHeight w:val="366"/>
          <w:jc w:val="center"/>
        </w:trPr>
        <w:tc>
          <w:tcPr>
            <w:tcW w:w="1814" w:type="dxa"/>
            <w:tcBorders>
              <w:bottom w:val="single" w:sz="4" w:space="0" w:color="auto"/>
            </w:tcBorders>
          </w:tcPr>
          <w:p w:rsidR="00A36C29" w:rsidRPr="00C45FA7" w:rsidRDefault="00A36C29" w:rsidP="00384E88">
            <w:pPr>
              <w:spacing w:after="120"/>
              <w:jc w:val="center"/>
            </w:pPr>
            <w:r w:rsidRPr="00C45FA7">
              <w:t>Papír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36C29" w:rsidRPr="00C45FA7" w:rsidRDefault="00A36C29" w:rsidP="00384E88">
            <w:pPr>
              <w:spacing w:after="120"/>
              <w:jc w:val="center"/>
            </w:pPr>
            <w:r>
              <w:t>0,</w:t>
            </w:r>
            <w:r w:rsidRPr="00C45FA7">
              <w:t>607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5</w:t>
            </w:r>
            <w:r>
              <w:t>0,8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A36C29" w:rsidRPr="00C45FA7" w:rsidRDefault="00A36C29" w:rsidP="00384E88">
            <w:pPr>
              <w:spacing w:after="200"/>
              <w:jc w:val="center"/>
            </w:pPr>
            <w:r w:rsidRPr="00C45FA7">
              <w:t>25</w:t>
            </w:r>
          </w:p>
        </w:tc>
      </w:tr>
    </w:tbl>
    <w:p w:rsidR="00A36C29" w:rsidRPr="005975AB" w:rsidRDefault="00A36C29" w:rsidP="00A36C29">
      <w:pPr>
        <w:pStyle w:val="Bntextrga"/>
        <w:spacing w:line="360" w:lineRule="auto"/>
        <w:jc w:val="both"/>
      </w:pPr>
    </w:p>
    <w:p w:rsidR="00A36C29" w:rsidRPr="005975AB" w:rsidRDefault="00A36C29" w:rsidP="00A36C29">
      <w:pPr>
        <w:pStyle w:val="Bntextrga"/>
        <w:spacing w:line="360" w:lineRule="auto"/>
        <w:ind w:firstLine="708"/>
      </w:pPr>
      <w:r w:rsidRPr="005975AB">
        <w:t xml:space="preserve">Absolutní </w:t>
      </w:r>
      <w:r w:rsidR="00B5052A">
        <w:t>nejistotu</w:t>
      </w:r>
      <w:r w:rsidRPr="005975AB">
        <w:t xml:space="preserve"> jednotlivých hodnot momentu setrvačnosti </w:t>
      </w:r>
      <m:oMath>
        <m:r>
          <w:rPr>
            <w:rFonts w:ascii="Cambria Math" w:hAnsi="Cambria Math"/>
          </w:rPr>
          <m:t>J</m:t>
        </m:r>
      </m:oMath>
      <w:r>
        <w:t xml:space="preserve"> určíme z rovnice (1.6.6</w:t>
      </w:r>
      <w:r w:rsidRPr="005975AB">
        <w:t xml:space="preserve">) a podobně pro určení </w:t>
      </w:r>
      <w:r w:rsidR="00B5052A">
        <w:t>nejistoty</w:t>
      </w:r>
      <w:r w:rsidRPr="005975AB">
        <w:t xml:space="preserve"> měření v případě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vyjdeme ze vztahu (1.6.7</w:t>
      </w:r>
      <w:r w:rsidRPr="005975AB">
        <w:t>):</w:t>
      </w:r>
    </w:p>
    <w:p w:rsidR="00A36C29" w:rsidRPr="005975AB" w:rsidRDefault="00A36C29" w:rsidP="00A36C29">
      <w:pPr>
        <w:pStyle w:val="Bntextrga"/>
        <w:spacing w:line="360" w:lineRule="auto"/>
      </w:pPr>
    </w:p>
    <w:p w:rsidR="00A36C29" w:rsidRPr="005975AB" w:rsidRDefault="00A36C29" w:rsidP="00A36C29">
      <w:pPr>
        <w:pStyle w:val="Bntextrga"/>
        <w:spacing w:line="360" w:lineRule="auto"/>
        <w:jc w:val="right"/>
      </w:pPr>
      <m:oMath>
        <m:r>
          <w:rPr>
            <w:rFonts w:ascii="Cambria Math" w:hAnsi="Cambria Math"/>
          </w:rPr>
          <m:t>∆J=J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2∆T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∆R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</m:oMath>
      <w:r w:rsidRPr="005975AB">
        <w:t xml:space="preserve">                                              </w:t>
      </w:r>
      <w:r>
        <w:t>(1.6.6</w:t>
      </w:r>
      <w:r w:rsidRPr="005975AB">
        <w:t>)</w:t>
      </w:r>
    </w:p>
    <w:p w:rsidR="00A36C29" w:rsidRPr="005975AB" w:rsidRDefault="00A36C29" w:rsidP="00A36C29">
      <w:pPr>
        <w:pStyle w:val="Bntextrga"/>
        <w:spacing w:line="360" w:lineRule="auto"/>
        <w:jc w:val="right"/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∆J</m:t>
                </m:r>
              </m:num>
              <m:den>
                <m:r>
                  <w:rPr>
                    <w:rFonts w:ascii="Cambria Math" w:hAnsi="Cambria Math"/>
                  </w:rPr>
                  <m:t>J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2∆R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</m:oMath>
      <w:r w:rsidRPr="005975AB">
        <w:t xml:space="preserve">                                              </w:t>
      </w:r>
      <w:r>
        <w:t>(1.6.7</w:t>
      </w:r>
      <w:r w:rsidRPr="005975AB">
        <w:t>)</w:t>
      </w:r>
    </w:p>
    <w:p w:rsidR="00A36C29" w:rsidRPr="00E377E6" w:rsidRDefault="00A36C29" w:rsidP="00A36C2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br/>
        <w:t>Na závěr vytvoříme</w:t>
      </w:r>
      <w:r w:rsidRPr="00E377E6">
        <w:rPr>
          <w:rFonts w:eastAsiaTheme="minorEastAsia"/>
          <w:szCs w:val="24"/>
        </w:rPr>
        <w:t xml:space="preserve"> graf závislosti </w:t>
      </w:r>
      <w:r>
        <w:rPr>
          <w:rFonts w:eastAsiaTheme="minorEastAsia"/>
          <w:szCs w:val="24"/>
        </w:rPr>
        <w:t xml:space="preserve">momentu setrvačnosti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 xml:space="preserve"> na periodě kmitů papírového prstence</w:t>
      </w:r>
      <w:r w:rsidR="00EB0F0C">
        <w:rPr>
          <w:rFonts w:eastAsiaTheme="minorEastAsia"/>
          <w:szCs w:val="24"/>
        </w:rPr>
        <w:t xml:space="preserve">. </w:t>
      </w:r>
      <w:r w:rsidRPr="00E377E6">
        <w:rPr>
          <w:rFonts w:eastAsiaTheme="minorEastAsia"/>
          <w:szCs w:val="24"/>
        </w:rPr>
        <w:t>Graf vy</w:t>
      </w:r>
      <w:r>
        <w:rPr>
          <w:rFonts w:eastAsiaTheme="minorEastAsia"/>
          <w:szCs w:val="24"/>
        </w:rPr>
        <w:t>tvořený na základě tabulky 1.6.2 je na obrázku 1.6</w:t>
      </w:r>
      <w:r w:rsidRPr="00E377E6">
        <w:rPr>
          <w:rFonts w:eastAsiaTheme="minorEastAsia"/>
          <w:szCs w:val="24"/>
        </w:rPr>
        <w:t xml:space="preserve">.5. </w:t>
      </w:r>
    </w:p>
    <w:p w:rsidR="00A36C29" w:rsidRDefault="00A36C29" w:rsidP="00A36C29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4505AADE" wp14:editId="0578DB06">
            <wp:extent cx="5760000" cy="3240000"/>
            <wp:effectExtent l="0" t="0" r="12700" b="17780"/>
            <wp:docPr id="41" name="Graf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6C29" w:rsidRPr="007A2BCA" w:rsidRDefault="00A36C29" w:rsidP="00A36C29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1.6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5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Graf závislosti momentu setrvačnosti papírového prstence na periodě kmitů podle tabulky 1.6.2</w:t>
      </w:r>
      <w:r w:rsidRPr="007A2BCA">
        <w:rPr>
          <w:rFonts w:eastAsiaTheme="minorEastAsia"/>
          <w:sz w:val="20"/>
          <w:szCs w:val="20"/>
        </w:rPr>
        <w:t xml:space="preserve"> – Měření </w:t>
      </w:r>
      <w:r>
        <w:rPr>
          <w:rFonts w:eastAsiaTheme="minorEastAsia"/>
          <w:sz w:val="20"/>
          <w:szCs w:val="20"/>
        </w:rPr>
        <w:t>momentu setrvačnosti prstence</w:t>
      </w:r>
    </w:p>
    <w:p w:rsidR="00A36C29" w:rsidRDefault="00A36C29" w:rsidP="00A36C29">
      <w:pPr>
        <w:pStyle w:val="Bntextrga"/>
        <w:spacing w:line="360" w:lineRule="auto"/>
        <w:jc w:val="both"/>
      </w:pPr>
    </w:p>
    <w:p w:rsidR="00A36C29" w:rsidRDefault="00A36C29" w:rsidP="00A36C29">
      <w:pPr>
        <w:pStyle w:val="Bntextrga"/>
        <w:spacing w:line="360" w:lineRule="auto"/>
        <w:jc w:val="both"/>
      </w:pPr>
      <w:r w:rsidRPr="005A12ED">
        <w:rPr>
          <w:b/>
        </w:rPr>
        <w:t>Závěr</w:t>
      </w:r>
    </w:p>
    <w:p w:rsidR="00A36C29" w:rsidRPr="005A12ED" w:rsidRDefault="00A36C29" w:rsidP="00A36C29">
      <w:pPr>
        <w:pStyle w:val="Bntextrga"/>
        <w:spacing w:line="360" w:lineRule="auto"/>
        <w:jc w:val="both"/>
      </w:pPr>
      <w:r w:rsidRPr="005A12ED">
        <w:t xml:space="preserve">Průměrná hodnota momentu setrvačnosti vzhledem k ose otáčení neprocházející těžištěm stanovená ze všech měření má </w:t>
      </w:r>
      <w:r>
        <w:t xml:space="preserve">v případě kovového prstence </w:t>
      </w:r>
      <w:r w:rsidRPr="005A12ED">
        <w:t xml:space="preserve">velikost </w:t>
      </w:r>
      <w:r>
        <w:rPr>
          <w:rFonts w:eastAsiaTheme="minorEastAsia"/>
        </w:rPr>
        <w:br/>
      </w:r>
      <m:oMath>
        <m:r>
          <w:rPr>
            <w:rFonts w:ascii="Cambria Math" w:hAnsi="Cambria Math"/>
          </w:rPr>
          <m:t>J=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100±1</m:t>
            </m:r>
          </m:e>
        </m:d>
        <m:r>
          <w:rPr>
            <w:rFonts w:ascii="Cambria Math" w:hAnsi="Cambria Math"/>
          </w:rPr>
          <m:t>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 w:rsidRPr="005A12ED">
        <w:t xml:space="preserve"> kg </w:t>
      </w:r>
      <w:r>
        <w:rPr>
          <w:rFonts w:cs="Times New Roman"/>
        </w:rPr>
        <w:t>∙</w:t>
      </w:r>
      <w:r>
        <w:t xml:space="preserve"> </w:t>
      </w:r>
      <w:r w:rsidRPr="005A12ED">
        <w:t>m</w:t>
      </w:r>
      <w:r w:rsidRPr="005A12ED">
        <w:rPr>
          <w:vertAlign w:val="superscript"/>
        </w:rPr>
        <w:t>2</w:t>
      </w:r>
      <w:r w:rsidRPr="005A12ED">
        <w:t xml:space="preserve">, analogicky stanovená průměrná hodnota momentu setrvačnosti vzhledem k ose otáčení procházející těžištěm byla určena jako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50±1</m:t>
            </m:r>
          </m:e>
        </m:d>
        <m:r>
          <w:rPr>
            <w:rFonts w:ascii="Cambria Math" w:hAnsi="Cambria Math"/>
          </w:rPr>
          <m:t>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 w:rsidRPr="005A12ED">
        <w:t xml:space="preserve"> kg </w:t>
      </w:r>
      <w:r>
        <w:rPr>
          <w:rFonts w:cs="Times New Roman"/>
        </w:rPr>
        <w:t>∙</w:t>
      </w:r>
      <w:r>
        <w:t xml:space="preserve"> </w:t>
      </w:r>
      <w:r w:rsidRPr="005A12ED">
        <w:t>m</w:t>
      </w:r>
      <w:r w:rsidRPr="005A12ED">
        <w:rPr>
          <w:vertAlign w:val="superscript"/>
        </w:rPr>
        <w:t>2</w:t>
      </w:r>
      <w:r w:rsidRPr="005A12ED">
        <w:t xml:space="preserve">. Hodnota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vypočítaná z rovnice (1.6.3</w:t>
      </w:r>
      <w:r w:rsidRPr="005A12ED">
        <w:t xml:space="preserve">) má velikost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=61∙1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 w:rsidRPr="005A12ED">
        <w:t xml:space="preserve"> kg </w:t>
      </w:r>
      <w:r>
        <w:rPr>
          <w:rFonts w:cs="Times New Roman"/>
        </w:rPr>
        <w:t>∙</w:t>
      </w:r>
      <w:r>
        <w:t xml:space="preserve"> </w:t>
      </w:r>
      <w:r w:rsidRPr="005A12ED">
        <w:t>m</w:t>
      </w:r>
      <w:r w:rsidRPr="005A12ED">
        <w:rPr>
          <w:vertAlign w:val="superscript"/>
        </w:rPr>
        <w:t>2</w:t>
      </w:r>
      <w:r w:rsidRPr="005A12ED">
        <w:t>.</w:t>
      </w:r>
    </w:p>
    <w:p w:rsidR="00A36C29" w:rsidRPr="005A12ED" w:rsidRDefault="00A36C29" w:rsidP="00A36C29">
      <w:pPr>
        <w:pStyle w:val="Bntextrga"/>
        <w:spacing w:line="360" w:lineRule="auto"/>
        <w:ind w:firstLine="708"/>
        <w:jc w:val="both"/>
      </w:pPr>
      <w:r w:rsidRPr="005A12ED">
        <w:t xml:space="preserve">I když relativní </w:t>
      </w:r>
      <w:r w:rsidR="00B5052A">
        <w:t>nejistota</w:t>
      </w:r>
      <w:r w:rsidRPr="005A12ED">
        <w:t xml:space="preserve"> měření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činí pouze 1,</w:t>
      </w:r>
      <w:r w:rsidRPr="005A12ED">
        <w:t xml:space="preserve">2 %, z porovnání experimentálně naměřené hodnoty a teoreticky vypočítané hodnoty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A12ED">
        <w:t xml:space="preserve"> plyne,</w:t>
      </w:r>
      <w:r>
        <w:t xml:space="preserve"> že experimentální hodnota je o </w:t>
      </w:r>
      <w:r w:rsidRPr="005A12ED">
        <w:t xml:space="preserve">cca 18 % menší než teoreticky vypočítaná. </w:t>
      </w:r>
    </w:p>
    <w:p w:rsidR="00A36C29" w:rsidRDefault="00A36C29" w:rsidP="00A36C29">
      <w:pPr>
        <w:pStyle w:val="Bntextrga"/>
        <w:spacing w:line="360" w:lineRule="auto"/>
        <w:ind w:firstLine="708"/>
        <w:jc w:val="both"/>
      </w:pPr>
      <w:r w:rsidRPr="005A12ED">
        <w:t>Výrazný rozdíl by mohl být způsoben tvarem kovového prstence, který nemá přesně tvar dutého válce, ale je na jednom konci opatřen „límcem“, jak je vidět na obrázku</w:t>
      </w:r>
      <w:r>
        <w:t xml:space="preserve"> 1.6.2.</w:t>
      </w:r>
    </w:p>
    <w:p w:rsidR="00A36C29" w:rsidRPr="00FE447F" w:rsidRDefault="00A36C29" w:rsidP="00A36C29">
      <w:pPr>
        <w:pStyle w:val="Bntextrga"/>
        <w:spacing w:line="360" w:lineRule="auto"/>
        <w:ind w:firstLine="708"/>
        <w:jc w:val="both"/>
      </w:pPr>
      <w:r w:rsidRPr="00FE447F">
        <w:lastRenderedPageBreak/>
        <w:t xml:space="preserve">V případě papírového prstence činila průměrná hodnota momentu setrvačnosti vzhledem k ose otáčení neprocházející těžištěm stanovená ze všech měření má velikost </w:t>
      </w:r>
      <w:r w:rsidRPr="00FE447F">
        <w:br/>
      </w:r>
      <m:oMath>
        <m:r>
          <w:rPr>
            <w:rFonts w:ascii="Cambria Math" w:hAnsi="Cambria Math"/>
          </w:rPr>
          <m:t>J=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52±1</m:t>
            </m:r>
          </m:e>
        </m:d>
        <m:r>
          <w:rPr>
            <w:rFonts w:ascii="Cambria Math" w:hAnsi="Cambria Math"/>
          </w:rPr>
          <m:t>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FE447F">
        <w:t xml:space="preserve"> kg </w:t>
      </w:r>
      <w:r>
        <w:rPr>
          <w:rFonts w:cs="Times New Roman"/>
        </w:rPr>
        <w:t>∙</w:t>
      </w:r>
      <w:r>
        <w:t xml:space="preserve"> </w:t>
      </w:r>
      <w:r w:rsidRPr="00FE447F">
        <w:t>m</w:t>
      </w:r>
      <w:r w:rsidRPr="00FE447F">
        <w:rPr>
          <w:vertAlign w:val="superscript"/>
        </w:rPr>
        <w:t>2</w:t>
      </w:r>
      <w:r w:rsidRPr="00FE447F">
        <w:t xml:space="preserve">, analogicky stanovená průměrná hodnota momentu setrvačnosti vzhledem k ose otáčení procházející těžištěm byla určena jako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25±1</m:t>
            </m:r>
          </m:e>
        </m:d>
        <m:r>
          <w:rPr>
            <w:rFonts w:ascii="Cambria Math" w:hAnsi="Cambria Math"/>
          </w:rPr>
          <m:t>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FE447F">
        <w:t xml:space="preserve"> kg </w:t>
      </w:r>
      <w:r>
        <w:rPr>
          <w:rFonts w:cs="Times New Roman"/>
        </w:rPr>
        <w:t>∙</w:t>
      </w:r>
      <w:r>
        <w:t xml:space="preserve"> </w:t>
      </w:r>
      <w:r w:rsidRPr="00FE447F">
        <w:t>m</w:t>
      </w:r>
      <w:r w:rsidRPr="00FE447F">
        <w:rPr>
          <w:vertAlign w:val="superscript"/>
        </w:rPr>
        <w:t>2</w:t>
      </w:r>
      <w:r w:rsidRPr="00FE447F">
        <w:t xml:space="preserve">. Hodnota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FE447F">
        <w:t xml:space="preserve"> vypočítaná ze vztahu</w:t>
      </w:r>
      <w:r>
        <w:t xml:space="preserve"> (1.6.3</w:t>
      </w:r>
      <w:r w:rsidRPr="00FE447F">
        <w:t xml:space="preserve">) má velikost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=24,5∙1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Pr="00FE447F">
        <w:t xml:space="preserve"> kg </w:t>
      </w:r>
      <w:r>
        <w:rPr>
          <w:rFonts w:cs="Times New Roman"/>
        </w:rPr>
        <w:t>∙</w:t>
      </w:r>
      <w:r>
        <w:t xml:space="preserve"> </w:t>
      </w:r>
      <w:r w:rsidRPr="00FE447F">
        <w:t>m</w:t>
      </w:r>
      <w:r w:rsidRPr="00FE447F">
        <w:rPr>
          <w:vertAlign w:val="superscript"/>
        </w:rPr>
        <w:t>2</w:t>
      </w:r>
      <w:r w:rsidRPr="00FE447F">
        <w:t xml:space="preserve">. </w:t>
      </w:r>
      <w:r w:rsidR="00B5052A">
        <w:t>Nejistoty</w:t>
      </w:r>
      <w:r w:rsidRPr="00FE447F">
        <w:t xml:space="preserve"> měření byly určeny obdobně jako v případě kovového prstence z relací</w:t>
      </w:r>
      <w:r>
        <w:t xml:space="preserve"> (1.6.7) a (1.6.8</w:t>
      </w:r>
      <w:r w:rsidRPr="00FE447F">
        <w:t>).</w:t>
      </w:r>
    </w:p>
    <w:p w:rsidR="00A36C29" w:rsidRPr="00FE447F" w:rsidRDefault="00A36C29" w:rsidP="00A36C29">
      <w:pPr>
        <w:pStyle w:val="Bntextrga"/>
        <w:spacing w:line="360" w:lineRule="auto"/>
        <w:ind w:firstLine="708"/>
        <w:jc w:val="both"/>
      </w:pPr>
      <w:r w:rsidRPr="00FE447F">
        <w:t xml:space="preserve">     Ačkoliv relativní </w:t>
      </w:r>
      <w:r w:rsidR="00B5052A">
        <w:t>nejistota</w:t>
      </w:r>
      <w:r w:rsidRPr="00FE447F">
        <w:t xml:space="preserve"> tohoto měření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FE447F">
        <w:t xml:space="preserve"> činí 4 %, z porovnání experimentálně naměřené hodnoty a teoreticky vypočítané hodnoty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FE447F">
        <w:t xml:space="preserve"> plyne, že experimentální hodnota je stejná, jako ta, kterou jsme určili na základě teore</w:t>
      </w:r>
      <w:r>
        <w:t>tického výpočtu podle vztahu (1.6.3</w:t>
      </w:r>
      <w:r w:rsidRPr="00FE447F">
        <w:t xml:space="preserve">). </w:t>
      </w:r>
    </w:p>
    <w:p w:rsidR="00A36C29" w:rsidRDefault="00A36C29" w:rsidP="00A36C29">
      <w:pPr>
        <w:pStyle w:val="Bntextrga"/>
        <w:spacing w:line="360" w:lineRule="auto"/>
        <w:ind w:firstLine="708"/>
        <w:jc w:val="both"/>
      </w:pPr>
      <w:r w:rsidRPr="00FE447F">
        <w:t xml:space="preserve">     V případě papírového prstence se tedy hypotéza o nemožnosti měřit s dostatečnou přesností moment setrvačnosti nepotvrdila a experiment lze zařadit mezi zajímavá laboratorní cvičení.</w:t>
      </w:r>
    </w:p>
    <w:p w:rsidR="00EB0F0C" w:rsidRDefault="00EB0F0C" w:rsidP="00A36C29">
      <w:pPr>
        <w:pStyle w:val="Bntextrga"/>
        <w:spacing w:line="360" w:lineRule="auto"/>
        <w:rPr>
          <w:rFonts w:eastAsiaTheme="minorEastAsia"/>
          <w:b/>
          <w:szCs w:val="24"/>
        </w:rPr>
      </w:pPr>
    </w:p>
    <w:p w:rsidR="00A36C29" w:rsidRDefault="00A36C29" w:rsidP="00A36C29">
      <w:pPr>
        <w:pStyle w:val="Bntextrga"/>
        <w:spacing w:line="360" w:lineRule="auto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A36C29" w:rsidRDefault="00A36C29" w:rsidP="00A36C2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Má na hodnotu periody kmitů prstence vliv poloměr tyče?  </w:t>
      </w:r>
    </w:p>
    <w:p w:rsidR="00A36C29" w:rsidRDefault="00A36C29" w:rsidP="00A36C2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Navrhněte experimentální uspořádání obdobného experimentu pro případ, že bychom měli místo dutého prstence plný válec.</w:t>
      </w:r>
    </w:p>
    <w:p w:rsidR="00262990" w:rsidRDefault="00262990"/>
    <w:sectPr w:rsidR="0026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9"/>
    <w:rsid w:val="00262990"/>
    <w:rsid w:val="0050098A"/>
    <w:rsid w:val="00A22A4F"/>
    <w:rsid w:val="00A36C29"/>
    <w:rsid w:val="00AD0ED0"/>
    <w:rsid w:val="00B070E1"/>
    <w:rsid w:val="00B5052A"/>
    <w:rsid w:val="00E22F35"/>
    <w:rsid w:val="00E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B5052A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A36C29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B5052A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A36C29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36C29"/>
    <w:rPr>
      <w:color w:val="0000FF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A36C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36C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3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B5052A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A36C29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B5052A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A36C29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36C29"/>
    <w:rPr>
      <w:color w:val="0000FF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A36C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36C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3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sclpx.eu/lab1R.php?exp=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1_5_kmity-prsten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41451388888889"/>
          <c:y val="0.16493364197530863"/>
          <c:w val="0.49364635416666669"/>
          <c:h val="0.64749969135802465"/>
        </c:manualLayout>
      </c:layout>
      <c:scatterChart>
        <c:scatterStyle val="lineMarker"/>
        <c:varyColors val="0"/>
        <c:ser>
          <c:idx val="0"/>
          <c:order val="0"/>
          <c:tx>
            <c:strRef>
              <c:f>List1!$D$20</c:f>
              <c:strCache>
                <c:ptCount val="1"/>
                <c:pt idx="0">
                  <c:v> (kg m2)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xVal>
            <c:numRef>
              <c:f>List1!$A$21:$A$28</c:f>
              <c:numCache>
                <c:formatCode>0.000</c:formatCode>
                <c:ptCount val="8"/>
                <c:pt idx="0">
                  <c:v>0.61199999999999999</c:v>
                </c:pt>
                <c:pt idx="1">
                  <c:v>0.60899999999999999</c:v>
                </c:pt>
                <c:pt idx="2">
                  <c:v>0.61099999999999999</c:v>
                </c:pt>
                <c:pt idx="3">
                  <c:v>0.61</c:v>
                </c:pt>
                <c:pt idx="4">
                  <c:v>0.61</c:v>
                </c:pt>
                <c:pt idx="5">
                  <c:v>0.61199999999999999</c:v>
                </c:pt>
                <c:pt idx="6">
                  <c:v>0.60499999999999998</c:v>
                </c:pt>
                <c:pt idx="7">
                  <c:v>0.60699999999999998</c:v>
                </c:pt>
              </c:numCache>
            </c:numRef>
          </c:xVal>
          <c:yVal>
            <c:numRef>
              <c:f>List1!$D$21:$D$28</c:f>
              <c:numCache>
                <c:formatCode>0.000000</c:formatCode>
                <c:ptCount val="8"/>
                <c:pt idx="0">
                  <c:v>2.6256117508257811E-5</c:v>
                </c:pt>
                <c:pt idx="1">
                  <c:v>2.5745064803129769E-5</c:v>
                </c:pt>
                <c:pt idx="2">
                  <c:v>2.608492904844086E-5</c:v>
                </c:pt>
                <c:pt idx="3">
                  <c:v>2.5914579060845772E-5</c:v>
                </c:pt>
                <c:pt idx="4">
                  <c:v>2.5914579060845772E-5</c:v>
                </c:pt>
                <c:pt idx="5">
                  <c:v>2.6256117508257811E-5</c:v>
                </c:pt>
                <c:pt idx="6">
                  <c:v>2.5075310381421255E-5</c:v>
                </c:pt>
                <c:pt idx="7">
                  <c:v>2.5408532530424066E-5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3510784"/>
        <c:axId val="253512704"/>
      </c:scatterChart>
      <c:valAx>
        <c:axId val="253510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(s)</a:t>
                </a:r>
              </a:p>
            </c:rich>
          </c:tx>
          <c:layout>
            <c:manualLayout>
              <c:xMode val="edge"/>
              <c:yMode val="edge"/>
              <c:x val="0.77118472222222223"/>
              <c:y val="0.8071283950617284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253512704"/>
        <c:crosses val="autoZero"/>
        <c:crossBetween val="midCat"/>
      </c:valAx>
      <c:valAx>
        <c:axId val="253512704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J</a:t>
                </a:r>
                <a:r>
                  <a:rPr lang="cs-CZ" sz="1200" b="0" i="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0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(kg </a:t>
                </a:r>
                <a:r>
                  <a:rPr lang="cs-CZ" sz="1200" b="0">
                    <a:latin typeface="Times New Roman"/>
                    <a:cs typeface="Times New Roman"/>
                  </a:rPr>
                  <a:t>∙ 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cs-CZ" sz="1200" b="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13449652777777779"/>
              <c:y val="6.2988271604938278E-2"/>
            </c:manualLayout>
          </c:layout>
          <c:overlay val="0"/>
        </c:title>
        <c:numFmt formatCode="0.000000" sourceLinked="1"/>
        <c:majorTickMark val="out"/>
        <c:minorTickMark val="none"/>
        <c:tickLblPos val="nextTo"/>
        <c:crossAx val="2535107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1362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imhotep</cp:lastModifiedBy>
  <cp:revision>6</cp:revision>
  <cp:lastPrinted>2016-02-28T12:41:00Z</cp:lastPrinted>
  <dcterms:created xsi:type="dcterms:W3CDTF">2016-01-23T17:18:00Z</dcterms:created>
  <dcterms:modified xsi:type="dcterms:W3CDTF">2016-02-28T12:42:00Z</dcterms:modified>
</cp:coreProperties>
</file>