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096" w:rsidRDefault="00063096" w:rsidP="00063096">
      <w:pPr>
        <w:pStyle w:val="Podkapitola"/>
      </w:pPr>
      <w:bookmarkStart w:id="0" w:name="_Toc430099766"/>
      <w:r>
        <w:t>3.5 Ověření frekvenční závislosti kapacitance a induktance</w:t>
      </w:r>
      <w:bookmarkEnd w:id="0"/>
    </w:p>
    <w:p w:rsidR="00063096" w:rsidRDefault="00063096" w:rsidP="00063096">
      <w:pPr>
        <w:pStyle w:val="Bntextrga"/>
        <w:spacing w:line="360" w:lineRule="auto"/>
        <w:rPr>
          <w:szCs w:val="24"/>
        </w:rPr>
      </w:pPr>
      <w:r>
        <w:rPr>
          <w:szCs w:val="24"/>
        </w:rPr>
        <w:br/>
      </w:r>
      <w:r w:rsidRPr="00315847">
        <w:rPr>
          <w:rFonts w:cs="Times New Roman"/>
          <w:szCs w:val="24"/>
        </w:rPr>
        <w:t xml:space="preserve">Online: </w:t>
      </w:r>
      <w:hyperlink r:id="rId5" w:history="1">
        <w:r w:rsidRPr="007E5A22">
          <w:rPr>
            <w:rStyle w:val="Hypertextovodkaz"/>
            <w:rFonts w:cs="Times New Roman"/>
            <w:szCs w:val="24"/>
          </w:rPr>
          <w:t>http://www.sclpx.eu/lab3R.php?exp=10</w:t>
        </w:r>
      </w:hyperlink>
      <w:r>
        <w:rPr>
          <w:rFonts w:cs="Times New Roman"/>
          <w:szCs w:val="24"/>
        </w:rPr>
        <w:t xml:space="preserve"> </w:t>
      </w:r>
    </w:p>
    <w:p w:rsidR="00063096" w:rsidRDefault="00063096" w:rsidP="00063096">
      <w:pPr>
        <w:pStyle w:val="Bntextrga"/>
        <w:spacing w:line="360" w:lineRule="auto"/>
        <w:jc w:val="both"/>
        <w:rPr>
          <w:szCs w:val="24"/>
        </w:rPr>
      </w:pPr>
      <w:r>
        <w:rPr>
          <w:szCs w:val="24"/>
        </w:rPr>
        <w:tab/>
        <w:t>I tento experiment patří mezi další původní experimenty autora práce. Stejně jako v předešlém experimentu 3.4 je jako zdroj střídavého napětí využit výstup zvukové karty. Změnu frekvence provádíme pomocí programu Visual Analyser a opět nám stačí pouze jeden kanál.</w:t>
      </w:r>
    </w:p>
    <w:p w:rsidR="00063096" w:rsidRPr="003F1134" w:rsidRDefault="00063096" w:rsidP="00063096">
      <w:pPr>
        <w:pStyle w:val="Bntextrga"/>
        <w:spacing w:line="360" w:lineRule="auto"/>
        <w:rPr>
          <w:b/>
          <w:szCs w:val="24"/>
        </w:rPr>
      </w:pPr>
      <w:r w:rsidRPr="003F1134">
        <w:rPr>
          <w:b/>
          <w:szCs w:val="24"/>
        </w:rPr>
        <w:t>Úvod</w:t>
      </w:r>
    </w:p>
    <w:p w:rsidR="00063096" w:rsidRDefault="00063096" w:rsidP="00063096">
      <w:pPr>
        <w:pStyle w:val="Bntextrga"/>
        <w:spacing w:line="360" w:lineRule="auto"/>
        <w:jc w:val="both"/>
        <w:rPr>
          <w:szCs w:val="24"/>
        </w:rPr>
      </w:pPr>
      <w:r>
        <w:rPr>
          <w:szCs w:val="24"/>
        </w:rPr>
        <w:t xml:space="preserve">Jak víme z teorie </w:t>
      </w:r>
      <w:r>
        <w:rPr>
          <w:szCs w:val="24"/>
          <w:lang w:val="en-US"/>
        </w:rPr>
        <w:t xml:space="preserve">[45], </w:t>
      </w:r>
      <w:r>
        <w:rPr>
          <w:szCs w:val="24"/>
        </w:rPr>
        <w:t xml:space="preserve">kondenzátor i cívka kladou střídavému proudu odpor, který nazýváme kapacitance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Cs w:val="24"/>
              </w:rPr>
              <m:t>C</m:t>
            </m:r>
          </m:sub>
        </m:sSub>
      </m:oMath>
      <w:r>
        <w:rPr>
          <w:szCs w:val="24"/>
        </w:rPr>
        <w:t xml:space="preserve">, resp. induktance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Cs w:val="24"/>
              </w:rPr>
              <m:t>L</m:t>
            </m:r>
          </m:sub>
        </m:sSub>
      </m:oMath>
      <w:r>
        <w:rPr>
          <w:szCs w:val="24"/>
        </w:rPr>
        <w:t>. Tyto veličiny jsou frekvenčně závislé a platí pro ně následující vztahy (3.5.1) a (3.5.2):</w:t>
      </w:r>
    </w:p>
    <w:p w:rsidR="00063096" w:rsidRPr="006C68E6" w:rsidRDefault="00590E8D" w:rsidP="00063096">
      <w:pPr>
        <w:pStyle w:val="Bntextrga"/>
        <w:spacing w:line="360" w:lineRule="auto"/>
        <w:jc w:val="both"/>
        <w:rPr>
          <w:rFonts w:eastAsiaTheme="minorEastAsia"/>
          <w:szCs w:val="24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/>
                  <w:i/>
                  <w:szCs w:val="24"/>
                </w:rPr>
              </m:ctrlPr>
            </m:sSubPr>
            <m:e>
              <m:r>
                <w:rPr>
                  <w:rFonts w:ascii="Cambria Math" w:hAnsi="Cambria Math"/>
                  <w:szCs w:val="24"/>
                </w:rPr>
                <m:t>X</m:t>
              </m:r>
            </m:e>
            <m:sub>
              <m:r>
                <w:rPr>
                  <w:rFonts w:ascii="Cambria Math" w:hAnsi="Cambria Math"/>
                  <w:szCs w:val="24"/>
                </w:rPr>
                <m:t>C</m:t>
              </m:r>
            </m:sub>
          </m:sSub>
          <m:r>
            <w:rPr>
              <w:rFonts w:ascii="Cambria Math" w:hAnsi="Cambria Math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Cs w:val="24"/>
                </w:rPr>
              </m:ctrlPr>
            </m:fPr>
            <m:num>
              <m:r>
                <w:rPr>
                  <w:rFonts w:ascii="Cambria Math" w:hAnsi="Cambria Math"/>
                  <w:szCs w:val="24"/>
                </w:rPr>
                <m:t>1</m:t>
              </m:r>
            </m:num>
            <m:den>
              <m:r>
                <w:rPr>
                  <w:rFonts w:ascii="Cambria Math" w:hAnsi="Cambria Math"/>
                  <w:szCs w:val="24"/>
                </w:rPr>
                <m:t>2</m:t>
              </m:r>
              <m:r>
                <m:rPr>
                  <m:sty m:val="p"/>
                </m:rPr>
                <w:rPr>
                  <w:rFonts w:ascii="Cambria Math" w:hAnsi="Cambria Math"/>
                  <w:szCs w:val="24"/>
                </w:rPr>
                <m:t>π</m:t>
              </m:r>
              <m:r>
                <w:rPr>
                  <w:rFonts w:ascii="Cambria Math" w:hAnsi="Cambria Math"/>
                  <w:szCs w:val="24"/>
                </w:rPr>
                <m:t>fC</m:t>
              </m:r>
            </m:den>
          </m:f>
          <m:r>
            <w:rPr>
              <w:rFonts w:ascii="Cambria Math" w:hAnsi="Cambria Math"/>
              <w:szCs w:val="24"/>
            </w:rPr>
            <m:t xml:space="preserve">,                                                            </m:t>
          </m:r>
          <m:d>
            <m:dPr>
              <m:ctrlPr>
                <w:rPr>
                  <w:rFonts w:ascii="Cambria Math" w:hAnsi="Cambria Math"/>
                  <w:i/>
                  <w:szCs w:val="24"/>
                </w:rPr>
              </m:ctrlPr>
            </m:dPr>
            <m:e>
              <m:r>
                <w:rPr>
                  <w:rFonts w:ascii="Cambria Math" w:hAnsi="Cambria Math"/>
                  <w:szCs w:val="24"/>
                </w:rPr>
                <m:t>3.5.1</m:t>
              </m:r>
            </m:e>
          </m:d>
        </m:oMath>
      </m:oMathPara>
    </w:p>
    <w:p w:rsidR="00063096" w:rsidRPr="003F1134" w:rsidRDefault="00590E8D" w:rsidP="00063096">
      <w:pPr>
        <w:pStyle w:val="Bntextrga"/>
        <w:spacing w:line="360" w:lineRule="auto"/>
        <w:jc w:val="both"/>
        <w:rPr>
          <w:szCs w:val="24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/>
                  <w:i/>
                  <w:szCs w:val="24"/>
                </w:rPr>
              </m:ctrlPr>
            </m:sSubPr>
            <m:e>
              <m:r>
                <w:rPr>
                  <w:rFonts w:ascii="Cambria Math" w:hAnsi="Cambria Math"/>
                  <w:szCs w:val="24"/>
                </w:rPr>
                <m:t>X</m:t>
              </m:r>
            </m:e>
            <m:sub>
              <m:r>
                <w:rPr>
                  <w:rFonts w:ascii="Cambria Math" w:hAnsi="Cambria Math"/>
                  <w:szCs w:val="24"/>
                </w:rPr>
                <m:t>L</m:t>
              </m:r>
            </m:sub>
          </m:sSub>
          <m:r>
            <w:rPr>
              <w:rFonts w:ascii="Cambria Math" w:hAnsi="Cambria Math"/>
              <w:szCs w:val="24"/>
            </w:rPr>
            <m:t>=2</m:t>
          </m:r>
          <m:r>
            <m:rPr>
              <m:sty m:val="p"/>
            </m:rPr>
            <w:rPr>
              <w:rFonts w:ascii="Cambria Math" w:hAnsi="Cambria Math"/>
              <w:szCs w:val="24"/>
            </w:rPr>
            <m:t>π</m:t>
          </m:r>
          <m:r>
            <w:rPr>
              <w:rFonts w:ascii="Cambria Math" w:hAnsi="Cambria Math"/>
              <w:szCs w:val="24"/>
            </w:rPr>
            <m:t>fL,                                                             (3.5.2)</m:t>
          </m:r>
        </m:oMath>
      </m:oMathPara>
    </w:p>
    <w:p w:rsidR="00063096" w:rsidRPr="006C68E6" w:rsidRDefault="00063096" w:rsidP="00063096">
      <w:pPr>
        <w:pStyle w:val="Bntextrga"/>
        <w:spacing w:line="360" w:lineRule="auto"/>
        <w:jc w:val="both"/>
        <w:rPr>
          <w:szCs w:val="24"/>
        </w:rPr>
      </w:pPr>
      <w:r>
        <w:rPr>
          <w:szCs w:val="24"/>
        </w:rPr>
        <w:t xml:space="preserve">kde </w:t>
      </w:r>
      <w:r>
        <w:rPr>
          <w:i/>
          <w:szCs w:val="24"/>
        </w:rPr>
        <w:t>C</w:t>
      </w:r>
      <w:r>
        <w:rPr>
          <w:szCs w:val="24"/>
        </w:rPr>
        <w:t xml:space="preserve"> je kapacita kondenzátoru, </w:t>
      </w:r>
      <w:r>
        <w:rPr>
          <w:i/>
          <w:szCs w:val="24"/>
        </w:rPr>
        <w:t>L</w:t>
      </w:r>
      <w:r>
        <w:rPr>
          <w:szCs w:val="24"/>
        </w:rPr>
        <w:t xml:space="preserve"> je indukčnost cívky a </w:t>
      </w:r>
      <w:r>
        <w:rPr>
          <w:i/>
          <w:szCs w:val="24"/>
        </w:rPr>
        <w:t>f</w:t>
      </w:r>
      <w:r>
        <w:rPr>
          <w:szCs w:val="24"/>
        </w:rPr>
        <w:t xml:space="preserve"> je frekvence střídavého proudu.</w:t>
      </w:r>
    </w:p>
    <w:p w:rsidR="00063096" w:rsidRDefault="00063096" w:rsidP="00063096">
      <w:pPr>
        <w:pStyle w:val="Bntextrga"/>
        <w:spacing w:line="360" w:lineRule="auto"/>
        <w:jc w:val="both"/>
        <w:rPr>
          <w:rFonts w:eastAsiaTheme="minorEastAsia"/>
          <w:szCs w:val="24"/>
        </w:rPr>
      </w:pPr>
      <w:r>
        <w:rPr>
          <w:szCs w:val="24"/>
        </w:rPr>
        <w:br/>
      </w:r>
      <w:r>
        <w:rPr>
          <w:rFonts w:eastAsiaTheme="minorEastAsia"/>
          <w:b/>
          <w:szCs w:val="24"/>
        </w:rPr>
        <w:t>Pomůcky:</w:t>
      </w:r>
      <w:r>
        <w:rPr>
          <w:rFonts w:eastAsiaTheme="minorEastAsia"/>
          <w:szCs w:val="24"/>
        </w:rPr>
        <w:t xml:space="preserve"> multimetr VA18B (2 ks), kondenzátor 4,7 </w:t>
      </w:r>
      <w:r>
        <w:rPr>
          <w:rFonts w:eastAsiaTheme="minorEastAsia" w:cs="Times New Roman"/>
          <w:szCs w:val="24"/>
        </w:rPr>
        <w:t>µ</w:t>
      </w:r>
      <w:r>
        <w:rPr>
          <w:rFonts w:eastAsiaTheme="minorEastAsia"/>
          <w:szCs w:val="24"/>
        </w:rPr>
        <w:t>F (3 ks), cívka (</w:t>
      </w:r>
      <w:r w:rsidRPr="005B7635">
        <w:rPr>
          <w:rFonts w:eastAsiaTheme="minorEastAsia"/>
          <w:i/>
          <w:szCs w:val="24"/>
        </w:rPr>
        <w:t>N</w:t>
      </w:r>
      <w:r>
        <w:rPr>
          <w:rFonts w:eastAsiaTheme="minorEastAsia"/>
          <w:szCs w:val="24"/>
        </w:rPr>
        <w:t xml:space="preserve"> = 600, </w:t>
      </w:r>
      <w:r w:rsidRPr="005B7635">
        <w:rPr>
          <w:rFonts w:eastAsiaTheme="minorEastAsia"/>
          <w:i/>
          <w:szCs w:val="24"/>
        </w:rPr>
        <w:t>L</w:t>
      </w:r>
      <w:r>
        <w:rPr>
          <w:rFonts w:eastAsiaTheme="minorEastAsia"/>
          <w:szCs w:val="24"/>
        </w:rPr>
        <w:t xml:space="preserve"> = 6 </w:t>
      </w:r>
      <w:proofErr w:type="spellStart"/>
      <w:r>
        <w:rPr>
          <w:rFonts w:eastAsiaTheme="minorEastAsia"/>
          <w:szCs w:val="24"/>
        </w:rPr>
        <w:t>mH</w:t>
      </w:r>
      <w:proofErr w:type="spellEnd"/>
      <w:r>
        <w:rPr>
          <w:rFonts w:eastAsiaTheme="minorEastAsia"/>
          <w:szCs w:val="24"/>
        </w:rPr>
        <w:t>), vodič jack 3,5 mm / 2 banánky, PC (notebook), Visual Analyser, propojovací vodiče</w:t>
      </w:r>
    </w:p>
    <w:p w:rsidR="00063096" w:rsidRDefault="00063096" w:rsidP="00063096">
      <w:pPr>
        <w:pStyle w:val="Bntextrga"/>
        <w:spacing w:line="36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b/>
          <w:szCs w:val="24"/>
        </w:rPr>
        <w:br/>
        <w:t>Postup práce</w:t>
      </w:r>
    </w:p>
    <w:p w:rsidR="00063096" w:rsidRDefault="00063096" w:rsidP="00063096">
      <w:pPr>
        <w:pStyle w:val="Bntextrga"/>
        <w:spacing w:line="360" w:lineRule="auto"/>
        <w:jc w:val="both"/>
        <w:rPr>
          <w:szCs w:val="24"/>
        </w:rPr>
      </w:pPr>
      <w:r>
        <w:rPr>
          <w:rFonts w:eastAsiaTheme="minorEastAsia"/>
          <w:szCs w:val="24"/>
        </w:rPr>
        <w:t>Uspořádání experimentu při měření kapacitance je patrné z obrázku 3.5.2 a při měření induktance z obrázku 3.5.3. Schéma zapojení je na následujícím obrázku 3.5.1.</w:t>
      </w:r>
    </w:p>
    <w:p w:rsidR="00063096" w:rsidRDefault="00063096" w:rsidP="00063096">
      <w:pPr>
        <w:pStyle w:val="Bntextrga"/>
        <w:spacing w:line="360" w:lineRule="auto"/>
        <w:jc w:val="center"/>
        <w:rPr>
          <w:szCs w:val="24"/>
        </w:rPr>
      </w:pPr>
      <w:r>
        <w:rPr>
          <w:noProof/>
          <w:szCs w:val="24"/>
          <w:lang w:eastAsia="cs-CZ"/>
        </w:rPr>
        <w:drawing>
          <wp:inline distT="0" distB="0" distL="0" distR="0" wp14:anchorId="4BDEFE70" wp14:editId="44D3D9FE">
            <wp:extent cx="3898800" cy="1432800"/>
            <wp:effectExtent l="0" t="0" r="0" b="0"/>
            <wp:docPr id="275" name="Obrázek 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_5_LC-obvody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8800" cy="143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3096" w:rsidRPr="00381ADE" w:rsidRDefault="00063096" w:rsidP="00063096">
      <w:pPr>
        <w:pStyle w:val="Bntextrga"/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Obrázek 3.5.1 Schéma zapojení kondenzátoru a) a cívky b) – Ověření frekvenční závislosti </w:t>
      </w:r>
      <w:r w:rsidRPr="00381ADE">
        <w:rPr>
          <w:i/>
          <w:sz w:val="20"/>
          <w:szCs w:val="20"/>
        </w:rPr>
        <w:t>X</w:t>
      </w:r>
      <w:r w:rsidRPr="00381ADE">
        <w:rPr>
          <w:sz w:val="20"/>
          <w:szCs w:val="20"/>
          <w:vertAlign w:val="subscript"/>
        </w:rPr>
        <w:t>C</w:t>
      </w:r>
      <w:r>
        <w:rPr>
          <w:sz w:val="20"/>
          <w:szCs w:val="20"/>
        </w:rPr>
        <w:t xml:space="preserve"> a </w:t>
      </w:r>
      <w:r w:rsidRPr="00381ADE">
        <w:rPr>
          <w:i/>
          <w:sz w:val="20"/>
          <w:szCs w:val="20"/>
        </w:rPr>
        <w:t>X</w:t>
      </w:r>
      <w:r w:rsidRPr="00381ADE">
        <w:rPr>
          <w:sz w:val="20"/>
          <w:szCs w:val="20"/>
          <w:vertAlign w:val="subscript"/>
        </w:rPr>
        <w:t>L</w:t>
      </w:r>
    </w:p>
    <w:p w:rsidR="00063096" w:rsidRDefault="00063096" w:rsidP="00063096">
      <w:pPr>
        <w:pStyle w:val="Bntextrga"/>
        <w:spacing w:line="360" w:lineRule="auto"/>
        <w:rPr>
          <w:szCs w:val="24"/>
        </w:rPr>
      </w:pPr>
      <w:r>
        <w:rPr>
          <w:noProof/>
          <w:szCs w:val="24"/>
          <w:lang w:eastAsia="cs-CZ"/>
        </w:rPr>
        <w:lastRenderedPageBreak/>
        <w:drawing>
          <wp:inline distT="0" distB="0" distL="0" distR="0" wp14:anchorId="0E5EADCF" wp14:editId="613E8B14">
            <wp:extent cx="5760085" cy="3239770"/>
            <wp:effectExtent l="0" t="0" r="0" b="0"/>
            <wp:docPr id="276" name="Obrázek 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_5a_zavislost_kapacitance_na_frekvenci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3096" w:rsidRPr="00381ADE" w:rsidRDefault="00063096" w:rsidP="00063096">
      <w:pPr>
        <w:pStyle w:val="Bntextrga"/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Obrázek 3.5.2 Uspořádání experimentu – zapojení kondenzátoru – Ověření frekvenční závislosti </w:t>
      </w:r>
      <w:r w:rsidRPr="00202437">
        <w:rPr>
          <w:sz w:val="20"/>
          <w:szCs w:val="20"/>
        </w:rPr>
        <w:t>kapacitance</w:t>
      </w:r>
    </w:p>
    <w:p w:rsidR="00063096" w:rsidRDefault="00063096" w:rsidP="00063096">
      <w:pPr>
        <w:pStyle w:val="Bntextrga"/>
        <w:spacing w:line="360" w:lineRule="auto"/>
        <w:jc w:val="center"/>
        <w:rPr>
          <w:szCs w:val="24"/>
        </w:rPr>
      </w:pPr>
    </w:p>
    <w:p w:rsidR="00063096" w:rsidRDefault="00063096" w:rsidP="00063096">
      <w:pPr>
        <w:pStyle w:val="Bntextrga"/>
        <w:spacing w:line="360" w:lineRule="auto"/>
        <w:rPr>
          <w:szCs w:val="24"/>
        </w:rPr>
      </w:pPr>
      <w:r>
        <w:rPr>
          <w:noProof/>
          <w:szCs w:val="24"/>
          <w:lang w:eastAsia="cs-CZ"/>
        </w:rPr>
        <w:drawing>
          <wp:inline distT="0" distB="0" distL="0" distR="0" wp14:anchorId="376A76E7" wp14:editId="0A604055">
            <wp:extent cx="5760085" cy="3239770"/>
            <wp:effectExtent l="0" t="0" r="0" b="0"/>
            <wp:docPr id="277" name="Obrázek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_5b_zavislost_induktance_na_frekvenci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3096" w:rsidRPr="00381ADE" w:rsidRDefault="00063096" w:rsidP="00063096">
      <w:pPr>
        <w:pStyle w:val="Bntextrga"/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Obrázek 3.5.3 Uspořádání experimentu – zapojení cívky – Ověření frekvenční závislosti induk</w:t>
      </w:r>
      <w:r w:rsidRPr="00202437">
        <w:rPr>
          <w:sz w:val="20"/>
          <w:szCs w:val="20"/>
        </w:rPr>
        <w:t>tance</w:t>
      </w:r>
    </w:p>
    <w:p w:rsidR="00063096" w:rsidRDefault="00063096" w:rsidP="00063096">
      <w:pPr>
        <w:pStyle w:val="Bntextrga"/>
        <w:spacing w:line="360" w:lineRule="auto"/>
        <w:rPr>
          <w:szCs w:val="24"/>
        </w:rPr>
      </w:pPr>
    </w:p>
    <w:p w:rsidR="00063096" w:rsidRDefault="00063096" w:rsidP="00063096">
      <w:pPr>
        <w:pStyle w:val="Bntextrga"/>
        <w:spacing w:line="360" w:lineRule="auto"/>
        <w:jc w:val="both"/>
        <w:rPr>
          <w:szCs w:val="24"/>
        </w:rPr>
      </w:pPr>
      <w:r>
        <w:rPr>
          <w:szCs w:val="24"/>
        </w:rPr>
        <w:t>Ve frekvenčním intervalu (100 – 4000) Hz zvolíme rovnoměrně přibližně 10 frekvencí, které generujeme v programu Visual Analyser pomocí tlačítka</w:t>
      </w:r>
      <w:r w:rsidR="00B048B9">
        <w:rPr>
          <w:szCs w:val="24"/>
        </w:rPr>
        <w:t xml:space="preserve"> </w:t>
      </w:r>
      <w:proofErr w:type="spellStart"/>
      <w:r w:rsidR="00B048B9" w:rsidRPr="00B048B9">
        <w:rPr>
          <w:i/>
          <w:szCs w:val="24"/>
        </w:rPr>
        <w:t>Apply</w:t>
      </w:r>
      <w:proofErr w:type="spellEnd"/>
      <w:r w:rsidR="00B048B9">
        <w:rPr>
          <w:szCs w:val="24"/>
        </w:rPr>
        <w:t xml:space="preserve"> na kartě</w:t>
      </w:r>
      <w:r>
        <w:rPr>
          <w:szCs w:val="24"/>
        </w:rPr>
        <w:t xml:space="preserve"> </w:t>
      </w:r>
      <w:proofErr w:type="spellStart"/>
      <w:r>
        <w:rPr>
          <w:i/>
          <w:szCs w:val="24"/>
        </w:rPr>
        <w:t>Wave</w:t>
      </w:r>
      <w:proofErr w:type="spellEnd"/>
      <w:r>
        <w:rPr>
          <w:szCs w:val="24"/>
        </w:rPr>
        <w:t xml:space="preserve">. </w:t>
      </w:r>
    </w:p>
    <w:p w:rsidR="00063096" w:rsidRDefault="00063096" w:rsidP="00063096">
      <w:pPr>
        <w:pStyle w:val="Bntextrga"/>
        <w:spacing w:line="360" w:lineRule="auto"/>
        <w:jc w:val="both"/>
        <w:rPr>
          <w:rFonts w:eastAsiaTheme="minorEastAsia"/>
          <w:szCs w:val="24"/>
        </w:rPr>
      </w:pPr>
      <w:r>
        <w:rPr>
          <w:szCs w:val="24"/>
        </w:rPr>
        <w:lastRenderedPageBreak/>
        <w:t xml:space="preserve">Pro každou frekvenci změříme pomocí multimetrů VA18B proud a napětí, ze kterých pak můžeme vypočítat hodnotu kapacitance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Cs w:val="24"/>
              </w:rPr>
              <m:t>C</m:t>
            </m:r>
          </m:sub>
        </m:sSub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U</m:t>
            </m:r>
          </m:num>
          <m:den>
            <m:r>
              <w:rPr>
                <w:rFonts w:ascii="Cambria Math" w:hAnsi="Cambria Math"/>
                <w:szCs w:val="24"/>
              </w:rPr>
              <m:t>I</m:t>
            </m:r>
          </m:den>
        </m:f>
      </m:oMath>
      <w:r>
        <w:rPr>
          <w:rFonts w:eastAsiaTheme="minorEastAsia"/>
          <w:szCs w:val="24"/>
        </w:rPr>
        <w:t xml:space="preserve">, resp. induktance </w:t>
      </w:r>
      <w:r>
        <w:rPr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Cs w:val="24"/>
              </w:rPr>
              <m:t>L</m:t>
            </m:r>
          </m:sub>
        </m:sSub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U</m:t>
            </m:r>
          </m:num>
          <m:den>
            <m:r>
              <w:rPr>
                <w:rFonts w:ascii="Cambria Math" w:hAnsi="Cambria Math"/>
                <w:szCs w:val="24"/>
              </w:rPr>
              <m:t>I</m:t>
            </m:r>
          </m:den>
        </m:f>
      </m:oMath>
      <w:r>
        <w:rPr>
          <w:rFonts w:eastAsiaTheme="minorEastAsia"/>
          <w:szCs w:val="24"/>
        </w:rPr>
        <w:t xml:space="preserve">. Vypočítané hodnoty zapíšeme do tabulky a vyneseme grafickou závislost kapacitance, resp. induktance na frekvenci. Grafy tvoříme pomocí programu MS Excel a doplníme je o regresní analýzu. </w:t>
      </w:r>
    </w:p>
    <w:p w:rsidR="00063096" w:rsidRDefault="00063096" w:rsidP="00063096">
      <w:pPr>
        <w:pStyle w:val="Bntextrga"/>
        <w:spacing w:line="36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ab/>
        <w:t>V druhé části výpočtů využijeme vztahy (3.5.1) a (3.5.2) k výpočtu kapacity kondenzátoru, resp. indukčnosti cívky.</w:t>
      </w:r>
    </w:p>
    <w:p w:rsidR="00063096" w:rsidRDefault="00063096" w:rsidP="00063096">
      <w:pPr>
        <w:pStyle w:val="Bntextrga"/>
        <w:spacing w:line="36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ab/>
        <w:t xml:space="preserve">V případě určení kapacitance a kapacity kondenzátoru provedeme měření nejprve pro jeden kondenzátor s kapacitou </w:t>
      </w:r>
      <w:r w:rsidRPr="00AB2633">
        <w:rPr>
          <w:rFonts w:eastAsiaTheme="minorEastAsia"/>
          <w:i/>
          <w:szCs w:val="24"/>
        </w:rPr>
        <w:t>C</w:t>
      </w:r>
      <w:r w:rsidRPr="00AB2633">
        <w:rPr>
          <w:rFonts w:eastAsiaTheme="minorEastAsia"/>
          <w:szCs w:val="24"/>
          <w:vertAlign w:val="subscript"/>
        </w:rPr>
        <w:t>1</w:t>
      </w:r>
      <w:r>
        <w:rPr>
          <w:rFonts w:eastAsiaTheme="minorEastAsia"/>
          <w:szCs w:val="24"/>
        </w:rPr>
        <w:t xml:space="preserve"> = 4,7 </w:t>
      </w:r>
      <w:r>
        <w:rPr>
          <w:rFonts w:eastAsiaTheme="minorEastAsia" w:cs="Times New Roman"/>
          <w:szCs w:val="24"/>
        </w:rPr>
        <w:t>µ</w:t>
      </w:r>
      <w:r>
        <w:rPr>
          <w:rFonts w:eastAsiaTheme="minorEastAsia"/>
          <w:szCs w:val="24"/>
        </w:rPr>
        <w:t xml:space="preserve">F a potom pro dva </w:t>
      </w:r>
      <w:r w:rsidR="00B048B9">
        <w:rPr>
          <w:rFonts w:eastAsiaTheme="minorEastAsia"/>
          <w:szCs w:val="24"/>
        </w:rPr>
        <w:t>paralelně</w:t>
      </w:r>
      <w:r>
        <w:rPr>
          <w:rFonts w:eastAsiaTheme="minorEastAsia"/>
          <w:szCs w:val="24"/>
        </w:rPr>
        <w:t xml:space="preserve"> spojené kondenzátory s výslednou kapacitou </w:t>
      </w:r>
      <w:r w:rsidRPr="00AB2633">
        <w:rPr>
          <w:rFonts w:eastAsiaTheme="minorEastAsia"/>
          <w:i/>
          <w:szCs w:val="24"/>
        </w:rPr>
        <w:t>C</w:t>
      </w:r>
      <w:r>
        <w:rPr>
          <w:rFonts w:eastAsiaTheme="minorEastAsia"/>
          <w:szCs w:val="24"/>
          <w:vertAlign w:val="subscript"/>
        </w:rPr>
        <w:t>2</w:t>
      </w:r>
      <w:r>
        <w:rPr>
          <w:rFonts w:eastAsiaTheme="minorEastAsia"/>
          <w:szCs w:val="24"/>
        </w:rPr>
        <w:t xml:space="preserve"> = 9,4 </w:t>
      </w:r>
      <w:r>
        <w:rPr>
          <w:rFonts w:eastAsiaTheme="minorEastAsia" w:cs="Times New Roman"/>
          <w:szCs w:val="24"/>
        </w:rPr>
        <w:t>µ</w:t>
      </w:r>
      <w:r>
        <w:rPr>
          <w:rFonts w:eastAsiaTheme="minorEastAsia"/>
          <w:szCs w:val="24"/>
        </w:rPr>
        <w:t>F.</w:t>
      </w:r>
    </w:p>
    <w:p w:rsidR="00063096" w:rsidRDefault="00063096" w:rsidP="00063096">
      <w:pPr>
        <w:pStyle w:val="Bntextrga"/>
        <w:spacing w:line="360" w:lineRule="auto"/>
        <w:jc w:val="both"/>
        <w:rPr>
          <w:szCs w:val="24"/>
        </w:rPr>
      </w:pPr>
      <w:r>
        <w:rPr>
          <w:rFonts w:eastAsiaTheme="minorEastAsia"/>
          <w:szCs w:val="24"/>
        </w:rPr>
        <w:tab/>
        <w:t xml:space="preserve">Námi naměřené hodnoty pro výpočet kapacitance uvádíme v tabulce 3.5.1. Indexem 1 je označeno měření s kondenzátorem o kapacitě </w:t>
      </w:r>
      <w:r w:rsidRPr="00AB2633">
        <w:rPr>
          <w:rFonts w:eastAsiaTheme="minorEastAsia"/>
          <w:i/>
          <w:szCs w:val="24"/>
        </w:rPr>
        <w:t>C</w:t>
      </w:r>
      <w:r w:rsidRPr="00AB2633">
        <w:rPr>
          <w:rFonts w:eastAsiaTheme="minorEastAsia"/>
          <w:szCs w:val="24"/>
          <w:vertAlign w:val="subscript"/>
        </w:rPr>
        <w:t>1</w:t>
      </w:r>
      <w:r>
        <w:rPr>
          <w:rFonts w:eastAsiaTheme="minorEastAsia"/>
          <w:szCs w:val="24"/>
        </w:rPr>
        <w:t xml:space="preserve"> = 4,7 </w:t>
      </w:r>
      <w:r>
        <w:rPr>
          <w:rFonts w:eastAsiaTheme="minorEastAsia" w:cs="Times New Roman"/>
          <w:szCs w:val="24"/>
        </w:rPr>
        <w:t>µ</w:t>
      </w:r>
      <w:r>
        <w:rPr>
          <w:rFonts w:eastAsiaTheme="minorEastAsia"/>
          <w:szCs w:val="24"/>
        </w:rPr>
        <w:t xml:space="preserve">F a indexem 2 měření s kondenzátorem o kapacitě </w:t>
      </w:r>
      <w:r w:rsidRPr="00AB2633">
        <w:rPr>
          <w:rFonts w:eastAsiaTheme="minorEastAsia"/>
          <w:i/>
          <w:szCs w:val="24"/>
        </w:rPr>
        <w:t>C</w:t>
      </w:r>
      <w:r>
        <w:rPr>
          <w:rFonts w:eastAsiaTheme="minorEastAsia"/>
          <w:szCs w:val="24"/>
          <w:vertAlign w:val="subscript"/>
        </w:rPr>
        <w:t>2</w:t>
      </w:r>
      <w:r>
        <w:rPr>
          <w:rFonts w:eastAsiaTheme="minorEastAsia"/>
          <w:szCs w:val="24"/>
        </w:rPr>
        <w:t xml:space="preserve"> = 9,4 </w:t>
      </w:r>
      <w:r>
        <w:rPr>
          <w:rFonts w:eastAsiaTheme="minorEastAsia" w:cs="Times New Roman"/>
          <w:szCs w:val="24"/>
        </w:rPr>
        <w:t>µ</w:t>
      </w:r>
      <w:r>
        <w:rPr>
          <w:rFonts w:eastAsiaTheme="minorEastAsia"/>
          <w:szCs w:val="24"/>
        </w:rPr>
        <w:t xml:space="preserve">F. Grafická závislost experimentálně určených kapacitancí kondenzátorů (hlavní svislá osa) a induktance cívky (vedlejší svislá osa) na frekvenci proudu je zobrazena na obrázku 3.5.4. </w:t>
      </w:r>
    </w:p>
    <w:p w:rsidR="00063096" w:rsidRDefault="00063096" w:rsidP="00063096">
      <w:pPr>
        <w:spacing w:after="12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cs-CZ"/>
        </w:rPr>
      </w:pPr>
    </w:p>
    <w:p w:rsidR="00063096" w:rsidRPr="0032541C" w:rsidRDefault="00063096" w:rsidP="00063096">
      <w:pPr>
        <w:spacing w:after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cs-CZ"/>
        </w:rPr>
        <w:t>Tabulka 3.5.1</w:t>
      </w:r>
      <w:r w:rsidRPr="0032541C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cs-CZ"/>
        </w:rPr>
        <w:t>Měření kapacitance kondenzátorů v závislosti na frekvenci</w:t>
      </w:r>
    </w:p>
    <w:tbl>
      <w:tblPr>
        <w:tblStyle w:val="Mkatabulky3"/>
        <w:tblW w:w="87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9"/>
        <w:gridCol w:w="878"/>
        <w:gridCol w:w="1049"/>
        <w:gridCol w:w="1021"/>
        <w:gridCol w:w="1037"/>
        <w:gridCol w:w="809"/>
        <w:gridCol w:w="1047"/>
        <w:gridCol w:w="1026"/>
        <w:gridCol w:w="1034"/>
      </w:tblGrid>
      <w:tr w:rsidR="00063096" w:rsidRPr="0032541C" w:rsidTr="000A41D8">
        <w:trPr>
          <w:trHeight w:hRule="exact" w:val="454"/>
          <w:jc w:val="center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063096" w:rsidRPr="00845B24" w:rsidRDefault="00063096" w:rsidP="000A41D8">
            <w:pPr>
              <w:spacing w:after="120"/>
              <w:jc w:val="center"/>
            </w:pPr>
            <w:r>
              <w:rPr>
                <w:i/>
              </w:rPr>
              <w:t>f</w:t>
            </w:r>
            <w:r>
              <w:t xml:space="preserve"> (Hz)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063096" w:rsidRPr="0032541C" w:rsidRDefault="00590E8D" w:rsidP="000A41D8">
            <w:pPr>
              <w:spacing w:after="120"/>
              <w:jc w:val="center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oMath>
            <w:r w:rsidR="00063096" w:rsidRPr="0032541C">
              <w:t>(</w:t>
            </w:r>
            <w:r w:rsidR="00063096">
              <w:t>V</w:t>
            </w:r>
            <w:r w:rsidR="00063096" w:rsidRPr="0032541C">
              <w:t>)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063096" w:rsidRPr="0032541C" w:rsidRDefault="00590E8D" w:rsidP="000A41D8">
            <w:pPr>
              <w:spacing w:after="120"/>
              <w:jc w:val="center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oMath>
            <w:r w:rsidR="00063096" w:rsidRPr="0032541C">
              <w:t xml:space="preserve"> (</w:t>
            </w:r>
            <w:r w:rsidR="00063096">
              <w:t>mA</w:t>
            </w:r>
            <w:r w:rsidR="00063096" w:rsidRPr="0032541C">
              <w:t>)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063096" w:rsidRPr="0032541C" w:rsidRDefault="00590E8D" w:rsidP="000A41D8">
            <w:pPr>
              <w:spacing w:after="120"/>
              <w:jc w:val="center"/>
              <w:rPr>
                <w:rFonts w:eastAsia="Times New Roman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/>
                    </w:rPr>
                    <m:t>C1</m:t>
                  </m:r>
                </m:sub>
              </m:sSub>
            </m:oMath>
            <w:r w:rsidR="00063096" w:rsidRPr="0032541C">
              <w:rPr>
                <w:rFonts w:eastAsia="Times New Roman"/>
              </w:rPr>
              <w:t xml:space="preserve"> (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Ω</m:t>
              </m:r>
            </m:oMath>
            <w:r w:rsidR="00063096" w:rsidRPr="0032541C">
              <w:rPr>
                <w:rFonts w:eastAsia="Times New Roman"/>
              </w:rPr>
              <w:t>)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63096" w:rsidRDefault="00590E8D" w:rsidP="000A41D8">
            <w:pPr>
              <w:spacing w:after="120"/>
              <w:ind w:left="-290" w:firstLine="290"/>
              <w:jc w:val="center"/>
              <w:rPr>
                <w:rFonts w:eastAsia="Calibri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oMath>
            <w:r w:rsidR="00063096" w:rsidRPr="0032541C">
              <w:t xml:space="preserve"> (</w:t>
            </w:r>
            <w:r w:rsidR="00063096">
              <w:t>µF</w:t>
            </w:r>
            <w:r w:rsidR="00063096" w:rsidRPr="0032541C">
              <w:t>)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63096" w:rsidRDefault="00590E8D" w:rsidP="000A41D8">
            <w:pPr>
              <w:spacing w:after="120"/>
              <w:jc w:val="center"/>
              <w:rPr>
                <w:rFonts w:eastAsia="Calibri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oMath>
            <w:r w:rsidR="00063096" w:rsidRPr="0032541C">
              <w:t>(</w:t>
            </w:r>
            <w:r w:rsidR="00063096">
              <w:t>V</w:t>
            </w:r>
            <w:r w:rsidR="00063096" w:rsidRPr="0032541C">
              <w:t>)</w:t>
            </w:r>
          </w:p>
        </w:tc>
        <w:tc>
          <w:tcPr>
            <w:tcW w:w="104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63096" w:rsidRDefault="00590E8D" w:rsidP="000A41D8">
            <w:pPr>
              <w:spacing w:after="120"/>
              <w:jc w:val="center"/>
              <w:rPr>
                <w:rFonts w:eastAsia="Calibri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oMath>
            <w:r w:rsidR="00063096" w:rsidRPr="0032541C">
              <w:t xml:space="preserve"> (</w:t>
            </w:r>
            <w:r w:rsidR="00063096">
              <w:t>mA</w:t>
            </w:r>
            <w:r w:rsidR="00063096" w:rsidRPr="0032541C">
              <w:t>)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63096" w:rsidRDefault="00590E8D" w:rsidP="000A41D8">
            <w:pPr>
              <w:spacing w:after="120"/>
              <w:jc w:val="center"/>
              <w:rPr>
                <w:rFonts w:eastAsia="Calibri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/>
                    </w:rPr>
                    <m:t>C2</m:t>
                  </m:r>
                </m:sub>
              </m:sSub>
            </m:oMath>
            <w:r w:rsidR="00063096" w:rsidRPr="0032541C">
              <w:rPr>
                <w:rFonts w:eastAsia="Times New Roman"/>
              </w:rPr>
              <w:t xml:space="preserve"> (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Ω</m:t>
              </m:r>
            </m:oMath>
            <w:r w:rsidR="00063096" w:rsidRPr="0032541C">
              <w:rPr>
                <w:rFonts w:eastAsia="Times New Roman"/>
              </w:rPr>
              <w:t>)</w:t>
            </w:r>
          </w:p>
        </w:tc>
        <w:tc>
          <w:tcPr>
            <w:tcW w:w="10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63096" w:rsidRDefault="00590E8D" w:rsidP="000A41D8">
            <w:pPr>
              <w:spacing w:after="120"/>
              <w:jc w:val="center"/>
              <w:rPr>
                <w:rFonts w:eastAsia="Calibri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oMath>
            <w:r w:rsidR="00063096" w:rsidRPr="0032541C">
              <w:t xml:space="preserve"> (</w:t>
            </w:r>
            <w:r w:rsidR="00063096">
              <w:t>µF</w:t>
            </w:r>
            <w:r w:rsidR="00063096" w:rsidRPr="0032541C">
              <w:t>)</w:t>
            </w:r>
          </w:p>
        </w:tc>
      </w:tr>
      <w:tr w:rsidR="00063096" w:rsidRPr="0032541C" w:rsidTr="000A41D8">
        <w:trPr>
          <w:trHeight w:hRule="exact" w:val="284"/>
          <w:jc w:val="center"/>
        </w:trPr>
        <w:tc>
          <w:tcPr>
            <w:tcW w:w="799" w:type="dxa"/>
            <w:tcMar>
              <w:top w:w="28" w:type="dxa"/>
              <w:bottom w:w="28" w:type="dxa"/>
            </w:tcMar>
          </w:tcPr>
          <w:p w:rsidR="00063096" w:rsidRDefault="00063096" w:rsidP="000A41D8">
            <w:pPr>
              <w:spacing w:after="120"/>
              <w:jc w:val="center"/>
            </w:pPr>
            <w:r>
              <w:t>100</w:t>
            </w:r>
          </w:p>
        </w:tc>
        <w:tc>
          <w:tcPr>
            <w:tcW w:w="878" w:type="dxa"/>
            <w:tcMar>
              <w:top w:w="28" w:type="dxa"/>
              <w:bottom w:w="28" w:type="dxa"/>
            </w:tcMar>
            <w:vAlign w:val="center"/>
          </w:tcPr>
          <w:p w:rsidR="00063096" w:rsidRPr="0032541C" w:rsidRDefault="00063096" w:rsidP="000A41D8">
            <w:pPr>
              <w:spacing w:after="120"/>
              <w:jc w:val="center"/>
            </w:pPr>
            <w:r>
              <w:t>1,174</w:t>
            </w:r>
          </w:p>
        </w:tc>
        <w:tc>
          <w:tcPr>
            <w:tcW w:w="1049" w:type="dxa"/>
            <w:tcMar>
              <w:top w:w="28" w:type="dxa"/>
              <w:bottom w:w="28" w:type="dxa"/>
            </w:tcMar>
          </w:tcPr>
          <w:p w:rsidR="00063096" w:rsidRPr="0032541C" w:rsidRDefault="00063096" w:rsidP="000A41D8">
            <w:pPr>
              <w:jc w:val="center"/>
            </w:pPr>
            <w:r>
              <w:t>3,40</w:t>
            </w:r>
          </w:p>
        </w:tc>
        <w:tc>
          <w:tcPr>
            <w:tcW w:w="1021" w:type="dxa"/>
            <w:tcMar>
              <w:top w:w="28" w:type="dxa"/>
              <w:bottom w:w="28" w:type="dxa"/>
            </w:tcMar>
          </w:tcPr>
          <w:p w:rsidR="00063096" w:rsidRPr="0032541C" w:rsidRDefault="00063096" w:rsidP="000A41D8">
            <w:pPr>
              <w:jc w:val="center"/>
            </w:pPr>
            <w:r>
              <w:t>345</w:t>
            </w:r>
          </w:p>
        </w:tc>
        <w:tc>
          <w:tcPr>
            <w:tcW w:w="1037" w:type="dxa"/>
          </w:tcPr>
          <w:p w:rsidR="00063096" w:rsidRDefault="00063096" w:rsidP="000A41D8">
            <w:pPr>
              <w:jc w:val="center"/>
            </w:pPr>
            <w:r>
              <w:t>4,61</w:t>
            </w:r>
          </w:p>
        </w:tc>
        <w:tc>
          <w:tcPr>
            <w:tcW w:w="809" w:type="dxa"/>
          </w:tcPr>
          <w:p w:rsidR="00063096" w:rsidRDefault="00063096" w:rsidP="000A41D8">
            <w:pPr>
              <w:jc w:val="center"/>
            </w:pPr>
            <w:r>
              <w:t>1,168</w:t>
            </w:r>
          </w:p>
        </w:tc>
        <w:tc>
          <w:tcPr>
            <w:tcW w:w="1047" w:type="dxa"/>
          </w:tcPr>
          <w:p w:rsidR="00063096" w:rsidRDefault="00063096" w:rsidP="000A41D8">
            <w:pPr>
              <w:jc w:val="center"/>
            </w:pPr>
            <w:r>
              <w:t>6,94</w:t>
            </w:r>
          </w:p>
        </w:tc>
        <w:tc>
          <w:tcPr>
            <w:tcW w:w="1026" w:type="dxa"/>
          </w:tcPr>
          <w:p w:rsidR="00063096" w:rsidRDefault="00063096" w:rsidP="000A41D8">
            <w:pPr>
              <w:jc w:val="center"/>
            </w:pPr>
            <w:r>
              <w:t>168</w:t>
            </w:r>
          </w:p>
        </w:tc>
        <w:tc>
          <w:tcPr>
            <w:tcW w:w="1034" w:type="dxa"/>
          </w:tcPr>
          <w:p w:rsidR="00063096" w:rsidRDefault="00063096" w:rsidP="000A41D8">
            <w:pPr>
              <w:jc w:val="center"/>
            </w:pPr>
            <w:r>
              <w:t>9,46</w:t>
            </w:r>
          </w:p>
        </w:tc>
      </w:tr>
      <w:tr w:rsidR="00063096" w:rsidRPr="0032541C" w:rsidTr="000A41D8">
        <w:trPr>
          <w:trHeight w:hRule="exact" w:val="284"/>
          <w:jc w:val="center"/>
        </w:trPr>
        <w:tc>
          <w:tcPr>
            <w:tcW w:w="799" w:type="dxa"/>
            <w:tcMar>
              <w:top w:w="28" w:type="dxa"/>
              <w:bottom w:w="28" w:type="dxa"/>
            </w:tcMar>
          </w:tcPr>
          <w:p w:rsidR="00063096" w:rsidRDefault="00063096" w:rsidP="000A41D8">
            <w:pPr>
              <w:spacing w:after="120"/>
              <w:jc w:val="center"/>
            </w:pPr>
            <w:r>
              <w:t>200</w:t>
            </w:r>
          </w:p>
        </w:tc>
        <w:tc>
          <w:tcPr>
            <w:tcW w:w="878" w:type="dxa"/>
            <w:tcMar>
              <w:top w:w="28" w:type="dxa"/>
              <w:bottom w:w="28" w:type="dxa"/>
            </w:tcMar>
            <w:vAlign w:val="center"/>
          </w:tcPr>
          <w:p w:rsidR="00063096" w:rsidRDefault="00063096" w:rsidP="000A41D8">
            <w:pPr>
              <w:spacing w:after="120"/>
              <w:jc w:val="center"/>
            </w:pPr>
            <w:r>
              <w:t>1,166</w:t>
            </w:r>
          </w:p>
        </w:tc>
        <w:tc>
          <w:tcPr>
            <w:tcW w:w="1049" w:type="dxa"/>
            <w:tcMar>
              <w:top w:w="28" w:type="dxa"/>
              <w:bottom w:w="28" w:type="dxa"/>
            </w:tcMar>
          </w:tcPr>
          <w:p w:rsidR="00063096" w:rsidRPr="0032541C" w:rsidRDefault="00063096" w:rsidP="000A41D8">
            <w:pPr>
              <w:jc w:val="center"/>
            </w:pPr>
            <w:r>
              <w:t>6,77</w:t>
            </w:r>
          </w:p>
        </w:tc>
        <w:tc>
          <w:tcPr>
            <w:tcW w:w="1021" w:type="dxa"/>
            <w:tcMar>
              <w:top w:w="28" w:type="dxa"/>
              <w:bottom w:w="28" w:type="dxa"/>
            </w:tcMar>
          </w:tcPr>
          <w:p w:rsidR="00063096" w:rsidRPr="0032541C" w:rsidRDefault="00063096" w:rsidP="000A41D8">
            <w:pPr>
              <w:jc w:val="center"/>
            </w:pPr>
            <w:r>
              <w:t>172</w:t>
            </w:r>
          </w:p>
        </w:tc>
        <w:tc>
          <w:tcPr>
            <w:tcW w:w="1037" w:type="dxa"/>
          </w:tcPr>
          <w:p w:rsidR="00063096" w:rsidRDefault="00063096" w:rsidP="000A41D8">
            <w:pPr>
              <w:jc w:val="center"/>
            </w:pPr>
            <w:r>
              <w:t>4,62</w:t>
            </w:r>
          </w:p>
        </w:tc>
        <w:tc>
          <w:tcPr>
            <w:tcW w:w="809" w:type="dxa"/>
          </w:tcPr>
          <w:p w:rsidR="00063096" w:rsidRDefault="00063096" w:rsidP="000A41D8">
            <w:pPr>
              <w:jc w:val="center"/>
            </w:pPr>
            <w:r>
              <w:t>1,144</w:t>
            </w:r>
          </w:p>
        </w:tc>
        <w:tc>
          <w:tcPr>
            <w:tcW w:w="1047" w:type="dxa"/>
          </w:tcPr>
          <w:p w:rsidR="00063096" w:rsidRDefault="00063096" w:rsidP="000A41D8">
            <w:pPr>
              <w:jc w:val="center"/>
            </w:pPr>
            <w:r>
              <w:t>13,64</w:t>
            </w:r>
          </w:p>
        </w:tc>
        <w:tc>
          <w:tcPr>
            <w:tcW w:w="1026" w:type="dxa"/>
          </w:tcPr>
          <w:p w:rsidR="00063096" w:rsidRDefault="00063096" w:rsidP="000A41D8">
            <w:pPr>
              <w:jc w:val="center"/>
            </w:pPr>
            <w:r>
              <w:t>84</w:t>
            </w:r>
          </w:p>
        </w:tc>
        <w:tc>
          <w:tcPr>
            <w:tcW w:w="1034" w:type="dxa"/>
          </w:tcPr>
          <w:p w:rsidR="00063096" w:rsidRDefault="00063096" w:rsidP="000A41D8">
            <w:pPr>
              <w:jc w:val="center"/>
            </w:pPr>
            <w:r>
              <w:t>9,49</w:t>
            </w:r>
          </w:p>
        </w:tc>
      </w:tr>
      <w:tr w:rsidR="00063096" w:rsidRPr="0032541C" w:rsidTr="000A41D8">
        <w:trPr>
          <w:trHeight w:hRule="exact" w:val="284"/>
          <w:jc w:val="center"/>
        </w:trPr>
        <w:tc>
          <w:tcPr>
            <w:tcW w:w="799" w:type="dxa"/>
            <w:tcMar>
              <w:top w:w="28" w:type="dxa"/>
              <w:bottom w:w="28" w:type="dxa"/>
            </w:tcMar>
          </w:tcPr>
          <w:p w:rsidR="00063096" w:rsidRDefault="00063096" w:rsidP="000A41D8">
            <w:pPr>
              <w:spacing w:after="120"/>
              <w:jc w:val="center"/>
            </w:pPr>
            <w:r>
              <w:t>500</w:t>
            </w:r>
          </w:p>
        </w:tc>
        <w:tc>
          <w:tcPr>
            <w:tcW w:w="878" w:type="dxa"/>
            <w:tcMar>
              <w:top w:w="28" w:type="dxa"/>
              <w:bottom w:w="28" w:type="dxa"/>
            </w:tcMar>
            <w:vAlign w:val="center"/>
          </w:tcPr>
          <w:p w:rsidR="00063096" w:rsidRDefault="00063096" w:rsidP="000A41D8">
            <w:pPr>
              <w:spacing w:after="120"/>
              <w:jc w:val="center"/>
            </w:pPr>
            <w:r>
              <w:t>1,042</w:t>
            </w:r>
          </w:p>
        </w:tc>
        <w:tc>
          <w:tcPr>
            <w:tcW w:w="1049" w:type="dxa"/>
            <w:tcMar>
              <w:top w:w="28" w:type="dxa"/>
              <w:bottom w:w="28" w:type="dxa"/>
            </w:tcMar>
          </w:tcPr>
          <w:p w:rsidR="00063096" w:rsidRDefault="00063096" w:rsidP="000A41D8">
            <w:pPr>
              <w:jc w:val="center"/>
            </w:pPr>
            <w:r>
              <w:t>15,18</w:t>
            </w:r>
          </w:p>
        </w:tc>
        <w:tc>
          <w:tcPr>
            <w:tcW w:w="1021" w:type="dxa"/>
            <w:tcMar>
              <w:top w:w="28" w:type="dxa"/>
              <w:bottom w:w="28" w:type="dxa"/>
            </w:tcMar>
          </w:tcPr>
          <w:p w:rsidR="00063096" w:rsidRDefault="00063096" w:rsidP="000A41D8">
            <w:pPr>
              <w:jc w:val="center"/>
            </w:pPr>
            <w:r>
              <w:t>69</w:t>
            </w:r>
          </w:p>
        </w:tc>
        <w:tc>
          <w:tcPr>
            <w:tcW w:w="1037" w:type="dxa"/>
          </w:tcPr>
          <w:p w:rsidR="00063096" w:rsidRDefault="00063096" w:rsidP="000A41D8">
            <w:pPr>
              <w:jc w:val="center"/>
            </w:pPr>
            <w:r>
              <w:t>4,64</w:t>
            </w:r>
          </w:p>
        </w:tc>
        <w:tc>
          <w:tcPr>
            <w:tcW w:w="809" w:type="dxa"/>
          </w:tcPr>
          <w:p w:rsidR="00063096" w:rsidRDefault="00063096" w:rsidP="000A41D8">
            <w:pPr>
              <w:jc w:val="center"/>
            </w:pPr>
            <w:r>
              <w:t>0,865</w:t>
            </w:r>
          </w:p>
        </w:tc>
        <w:tc>
          <w:tcPr>
            <w:tcW w:w="1047" w:type="dxa"/>
          </w:tcPr>
          <w:p w:rsidR="00063096" w:rsidRDefault="00063096" w:rsidP="000A41D8">
            <w:pPr>
              <w:jc w:val="center"/>
            </w:pPr>
            <w:r>
              <w:t>25,81</w:t>
            </w:r>
          </w:p>
        </w:tc>
        <w:tc>
          <w:tcPr>
            <w:tcW w:w="1026" w:type="dxa"/>
          </w:tcPr>
          <w:p w:rsidR="00063096" w:rsidRDefault="00063096" w:rsidP="000A41D8">
            <w:pPr>
              <w:jc w:val="center"/>
            </w:pPr>
            <w:r>
              <w:t>34</w:t>
            </w:r>
          </w:p>
        </w:tc>
        <w:tc>
          <w:tcPr>
            <w:tcW w:w="1034" w:type="dxa"/>
          </w:tcPr>
          <w:p w:rsidR="00063096" w:rsidRDefault="00063096" w:rsidP="000A41D8">
            <w:pPr>
              <w:jc w:val="center"/>
            </w:pPr>
            <w:r>
              <w:t>9,50</w:t>
            </w:r>
          </w:p>
        </w:tc>
      </w:tr>
      <w:tr w:rsidR="00063096" w:rsidRPr="0032541C" w:rsidTr="000A41D8">
        <w:trPr>
          <w:trHeight w:hRule="exact" w:val="284"/>
          <w:jc w:val="center"/>
        </w:trPr>
        <w:tc>
          <w:tcPr>
            <w:tcW w:w="799" w:type="dxa"/>
            <w:tcMar>
              <w:top w:w="28" w:type="dxa"/>
              <w:bottom w:w="28" w:type="dxa"/>
            </w:tcMar>
          </w:tcPr>
          <w:p w:rsidR="00063096" w:rsidRDefault="00063096" w:rsidP="000A41D8">
            <w:pPr>
              <w:spacing w:after="120"/>
              <w:jc w:val="center"/>
            </w:pPr>
            <w:r>
              <w:t>700</w:t>
            </w:r>
          </w:p>
        </w:tc>
        <w:tc>
          <w:tcPr>
            <w:tcW w:w="878" w:type="dxa"/>
            <w:tcMar>
              <w:top w:w="28" w:type="dxa"/>
              <w:bottom w:w="28" w:type="dxa"/>
            </w:tcMar>
            <w:vAlign w:val="center"/>
          </w:tcPr>
          <w:p w:rsidR="00063096" w:rsidRDefault="00063096" w:rsidP="000A41D8">
            <w:pPr>
              <w:spacing w:after="120"/>
              <w:jc w:val="center"/>
            </w:pPr>
            <w:r>
              <w:t>1,012</w:t>
            </w:r>
          </w:p>
        </w:tc>
        <w:tc>
          <w:tcPr>
            <w:tcW w:w="1049" w:type="dxa"/>
            <w:tcMar>
              <w:top w:w="28" w:type="dxa"/>
              <w:bottom w:w="28" w:type="dxa"/>
            </w:tcMar>
          </w:tcPr>
          <w:p w:rsidR="00063096" w:rsidRDefault="00063096" w:rsidP="000A41D8">
            <w:pPr>
              <w:jc w:val="center"/>
            </w:pPr>
            <w:r>
              <w:t>20,68</w:t>
            </w:r>
          </w:p>
        </w:tc>
        <w:tc>
          <w:tcPr>
            <w:tcW w:w="1021" w:type="dxa"/>
            <w:tcMar>
              <w:top w:w="28" w:type="dxa"/>
              <w:bottom w:w="28" w:type="dxa"/>
            </w:tcMar>
          </w:tcPr>
          <w:p w:rsidR="00063096" w:rsidRDefault="00063096" w:rsidP="000A41D8">
            <w:pPr>
              <w:jc w:val="center"/>
            </w:pPr>
            <w:r>
              <w:t>49</w:t>
            </w:r>
          </w:p>
        </w:tc>
        <w:tc>
          <w:tcPr>
            <w:tcW w:w="1037" w:type="dxa"/>
          </w:tcPr>
          <w:p w:rsidR="00063096" w:rsidRDefault="00063096" w:rsidP="000A41D8">
            <w:pPr>
              <w:jc w:val="center"/>
            </w:pPr>
            <w:r>
              <w:t>4,65</w:t>
            </w:r>
          </w:p>
        </w:tc>
        <w:tc>
          <w:tcPr>
            <w:tcW w:w="809" w:type="dxa"/>
          </w:tcPr>
          <w:p w:rsidR="00063096" w:rsidRDefault="00063096" w:rsidP="000A41D8">
            <w:pPr>
              <w:jc w:val="center"/>
            </w:pPr>
            <w:r>
              <w:t>0,723</w:t>
            </w:r>
          </w:p>
        </w:tc>
        <w:tc>
          <w:tcPr>
            <w:tcW w:w="1047" w:type="dxa"/>
          </w:tcPr>
          <w:p w:rsidR="00063096" w:rsidRDefault="00063096" w:rsidP="000A41D8">
            <w:pPr>
              <w:jc w:val="center"/>
            </w:pPr>
            <w:r>
              <w:t>30,27</w:t>
            </w:r>
          </w:p>
        </w:tc>
        <w:tc>
          <w:tcPr>
            <w:tcW w:w="1026" w:type="dxa"/>
          </w:tcPr>
          <w:p w:rsidR="00063096" w:rsidRDefault="00063096" w:rsidP="000A41D8">
            <w:pPr>
              <w:jc w:val="center"/>
            </w:pPr>
            <w:r>
              <w:t>24</w:t>
            </w:r>
          </w:p>
        </w:tc>
        <w:tc>
          <w:tcPr>
            <w:tcW w:w="1034" w:type="dxa"/>
          </w:tcPr>
          <w:p w:rsidR="00063096" w:rsidRDefault="00063096" w:rsidP="000A41D8">
            <w:pPr>
              <w:jc w:val="center"/>
            </w:pPr>
            <w:r>
              <w:t>9,52</w:t>
            </w:r>
          </w:p>
        </w:tc>
      </w:tr>
      <w:tr w:rsidR="00063096" w:rsidRPr="0032541C" w:rsidTr="000A41D8">
        <w:trPr>
          <w:trHeight w:hRule="exact" w:val="284"/>
          <w:jc w:val="center"/>
        </w:trPr>
        <w:tc>
          <w:tcPr>
            <w:tcW w:w="799" w:type="dxa"/>
            <w:tcMar>
              <w:top w:w="28" w:type="dxa"/>
              <w:bottom w:w="28" w:type="dxa"/>
            </w:tcMar>
          </w:tcPr>
          <w:p w:rsidR="00063096" w:rsidRDefault="00063096" w:rsidP="000A41D8">
            <w:pPr>
              <w:spacing w:after="120"/>
              <w:jc w:val="center"/>
            </w:pPr>
            <w:r>
              <w:t>1000</w:t>
            </w:r>
          </w:p>
        </w:tc>
        <w:tc>
          <w:tcPr>
            <w:tcW w:w="878" w:type="dxa"/>
            <w:tcMar>
              <w:top w:w="28" w:type="dxa"/>
              <w:bottom w:w="28" w:type="dxa"/>
            </w:tcMar>
            <w:vAlign w:val="center"/>
          </w:tcPr>
          <w:p w:rsidR="00063096" w:rsidRDefault="00063096" w:rsidP="000A41D8">
            <w:pPr>
              <w:spacing w:after="120"/>
              <w:jc w:val="center"/>
            </w:pPr>
            <w:r>
              <w:t>0,997</w:t>
            </w:r>
          </w:p>
        </w:tc>
        <w:tc>
          <w:tcPr>
            <w:tcW w:w="1049" w:type="dxa"/>
            <w:tcMar>
              <w:top w:w="28" w:type="dxa"/>
              <w:bottom w:w="28" w:type="dxa"/>
            </w:tcMar>
          </w:tcPr>
          <w:p w:rsidR="00063096" w:rsidRDefault="00063096" w:rsidP="000A41D8">
            <w:pPr>
              <w:jc w:val="center"/>
            </w:pPr>
            <w:r>
              <w:t>29,26</w:t>
            </w:r>
          </w:p>
        </w:tc>
        <w:tc>
          <w:tcPr>
            <w:tcW w:w="1021" w:type="dxa"/>
            <w:tcMar>
              <w:top w:w="28" w:type="dxa"/>
              <w:bottom w:w="28" w:type="dxa"/>
            </w:tcMar>
          </w:tcPr>
          <w:p w:rsidR="00063096" w:rsidRDefault="00063096" w:rsidP="000A41D8">
            <w:pPr>
              <w:jc w:val="center"/>
            </w:pPr>
            <w:r>
              <w:t>34</w:t>
            </w:r>
          </w:p>
        </w:tc>
        <w:tc>
          <w:tcPr>
            <w:tcW w:w="1037" w:type="dxa"/>
          </w:tcPr>
          <w:p w:rsidR="00063096" w:rsidRDefault="00063096" w:rsidP="000A41D8">
            <w:pPr>
              <w:jc w:val="center"/>
            </w:pPr>
            <w:r>
              <w:t>4,67</w:t>
            </w:r>
          </w:p>
        </w:tc>
        <w:tc>
          <w:tcPr>
            <w:tcW w:w="809" w:type="dxa"/>
          </w:tcPr>
          <w:p w:rsidR="00063096" w:rsidRDefault="00063096" w:rsidP="000A41D8">
            <w:pPr>
              <w:jc w:val="center"/>
            </w:pPr>
            <w:r>
              <w:t>0,585</w:t>
            </w:r>
          </w:p>
        </w:tc>
        <w:tc>
          <w:tcPr>
            <w:tcW w:w="1047" w:type="dxa"/>
          </w:tcPr>
          <w:p w:rsidR="00063096" w:rsidRDefault="00063096" w:rsidP="000A41D8">
            <w:pPr>
              <w:jc w:val="center"/>
            </w:pPr>
            <w:r>
              <w:t>35,25</w:t>
            </w:r>
          </w:p>
        </w:tc>
        <w:tc>
          <w:tcPr>
            <w:tcW w:w="1026" w:type="dxa"/>
          </w:tcPr>
          <w:p w:rsidR="00063096" w:rsidRDefault="00063096" w:rsidP="000A41D8">
            <w:pPr>
              <w:jc w:val="center"/>
            </w:pPr>
            <w:r>
              <w:t>17</w:t>
            </w:r>
          </w:p>
        </w:tc>
        <w:tc>
          <w:tcPr>
            <w:tcW w:w="1034" w:type="dxa"/>
          </w:tcPr>
          <w:p w:rsidR="00063096" w:rsidRDefault="00063096" w:rsidP="000A41D8">
            <w:pPr>
              <w:jc w:val="center"/>
            </w:pPr>
            <w:r>
              <w:t>9,59</w:t>
            </w:r>
          </w:p>
        </w:tc>
      </w:tr>
      <w:tr w:rsidR="00063096" w:rsidRPr="0032541C" w:rsidTr="000A41D8">
        <w:trPr>
          <w:trHeight w:hRule="exact" w:val="284"/>
          <w:jc w:val="center"/>
        </w:trPr>
        <w:tc>
          <w:tcPr>
            <w:tcW w:w="799" w:type="dxa"/>
            <w:tcMar>
              <w:top w:w="28" w:type="dxa"/>
              <w:bottom w:w="28" w:type="dxa"/>
            </w:tcMar>
          </w:tcPr>
          <w:p w:rsidR="00063096" w:rsidRDefault="00063096" w:rsidP="000A41D8">
            <w:pPr>
              <w:spacing w:after="120"/>
              <w:jc w:val="center"/>
            </w:pPr>
            <w:r>
              <w:t>1500</w:t>
            </w:r>
          </w:p>
        </w:tc>
        <w:tc>
          <w:tcPr>
            <w:tcW w:w="878" w:type="dxa"/>
            <w:tcMar>
              <w:top w:w="28" w:type="dxa"/>
              <w:bottom w:w="28" w:type="dxa"/>
            </w:tcMar>
            <w:vAlign w:val="center"/>
          </w:tcPr>
          <w:p w:rsidR="00063096" w:rsidRDefault="00063096" w:rsidP="000A41D8">
            <w:pPr>
              <w:spacing w:after="120"/>
              <w:jc w:val="center"/>
            </w:pPr>
            <w:r>
              <w:t>0,884</w:t>
            </w:r>
          </w:p>
        </w:tc>
        <w:tc>
          <w:tcPr>
            <w:tcW w:w="1049" w:type="dxa"/>
            <w:tcMar>
              <w:top w:w="28" w:type="dxa"/>
              <w:bottom w:w="28" w:type="dxa"/>
            </w:tcMar>
          </w:tcPr>
          <w:p w:rsidR="00063096" w:rsidRDefault="00063096" w:rsidP="000A41D8">
            <w:pPr>
              <w:jc w:val="center"/>
            </w:pPr>
            <w:r>
              <w:t>39,42</w:t>
            </w:r>
          </w:p>
        </w:tc>
        <w:tc>
          <w:tcPr>
            <w:tcW w:w="1021" w:type="dxa"/>
            <w:tcMar>
              <w:top w:w="28" w:type="dxa"/>
              <w:bottom w:w="28" w:type="dxa"/>
            </w:tcMar>
          </w:tcPr>
          <w:p w:rsidR="00063096" w:rsidRDefault="00063096" w:rsidP="000A41D8">
            <w:pPr>
              <w:jc w:val="center"/>
            </w:pPr>
            <w:r>
              <w:t>22</w:t>
            </w:r>
          </w:p>
        </w:tc>
        <w:tc>
          <w:tcPr>
            <w:tcW w:w="1037" w:type="dxa"/>
          </w:tcPr>
          <w:p w:rsidR="00063096" w:rsidRDefault="00063096" w:rsidP="000A41D8">
            <w:pPr>
              <w:jc w:val="center"/>
            </w:pPr>
            <w:r>
              <w:t>4,73</w:t>
            </w:r>
          </w:p>
        </w:tc>
        <w:tc>
          <w:tcPr>
            <w:tcW w:w="809" w:type="dxa"/>
          </w:tcPr>
          <w:p w:rsidR="00063096" w:rsidRDefault="00063096" w:rsidP="000A41D8">
            <w:pPr>
              <w:jc w:val="center"/>
            </w:pPr>
            <w:r>
              <w:t>0,456</w:t>
            </w:r>
          </w:p>
        </w:tc>
        <w:tc>
          <w:tcPr>
            <w:tcW w:w="1047" w:type="dxa"/>
          </w:tcPr>
          <w:p w:rsidR="00063096" w:rsidRDefault="00063096" w:rsidP="000A41D8">
            <w:pPr>
              <w:jc w:val="center"/>
            </w:pPr>
            <w:r>
              <w:t>41,72</w:t>
            </w:r>
          </w:p>
        </w:tc>
        <w:tc>
          <w:tcPr>
            <w:tcW w:w="1026" w:type="dxa"/>
          </w:tcPr>
          <w:p w:rsidR="00063096" w:rsidRDefault="00063096" w:rsidP="000A41D8">
            <w:pPr>
              <w:jc w:val="center"/>
            </w:pPr>
            <w:r>
              <w:t>11</w:t>
            </w:r>
          </w:p>
        </w:tc>
        <w:tc>
          <w:tcPr>
            <w:tcW w:w="1034" w:type="dxa"/>
          </w:tcPr>
          <w:p w:rsidR="00063096" w:rsidRDefault="00063096" w:rsidP="000A41D8">
            <w:pPr>
              <w:jc w:val="center"/>
            </w:pPr>
            <w:r>
              <w:t>9,71</w:t>
            </w:r>
          </w:p>
        </w:tc>
      </w:tr>
      <w:tr w:rsidR="00063096" w:rsidRPr="0032541C" w:rsidTr="000A41D8">
        <w:trPr>
          <w:trHeight w:hRule="exact" w:val="284"/>
          <w:jc w:val="center"/>
        </w:trPr>
        <w:tc>
          <w:tcPr>
            <w:tcW w:w="799" w:type="dxa"/>
            <w:tcMar>
              <w:top w:w="28" w:type="dxa"/>
              <w:bottom w:w="28" w:type="dxa"/>
            </w:tcMar>
          </w:tcPr>
          <w:p w:rsidR="00063096" w:rsidRDefault="00063096" w:rsidP="000A41D8">
            <w:pPr>
              <w:spacing w:after="120"/>
              <w:jc w:val="center"/>
            </w:pPr>
            <w:r>
              <w:t>2000</w:t>
            </w:r>
          </w:p>
        </w:tc>
        <w:tc>
          <w:tcPr>
            <w:tcW w:w="878" w:type="dxa"/>
            <w:tcMar>
              <w:top w:w="28" w:type="dxa"/>
              <w:bottom w:w="28" w:type="dxa"/>
            </w:tcMar>
            <w:vAlign w:val="center"/>
          </w:tcPr>
          <w:p w:rsidR="00063096" w:rsidRDefault="00063096" w:rsidP="000A41D8">
            <w:pPr>
              <w:spacing w:after="120"/>
              <w:jc w:val="center"/>
            </w:pPr>
            <w:r>
              <w:t>0,754</w:t>
            </w:r>
          </w:p>
        </w:tc>
        <w:tc>
          <w:tcPr>
            <w:tcW w:w="1049" w:type="dxa"/>
            <w:tcMar>
              <w:top w:w="28" w:type="dxa"/>
              <w:bottom w:w="28" w:type="dxa"/>
            </w:tcMar>
          </w:tcPr>
          <w:p w:rsidR="00063096" w:rsidRDefault="00063096" w:rsidP="000A41D8">
            <w:pPr>
              <w:jc w:val="center"/>
            </w:pPr>
            <w:r>
              <w:t>45,63</w:t>
            </w:r>
          </w:p>
        </w:tc>
        <w:tc>
          <w:tcPr>
            <w:tcW w:w="1021" w:type="dxa"/>
            <w:tcMar>
              <w:top w:w="28" w:type="dxa"/>
              <w:bottom w:w="28" w:type="dxa"/>
            </w:tcMar>
          </w:tcPr>
          <w:p w:rsidR="00063096" w:rsidRDefault="00063096" w:rsidP="000A41D8">
            <w:pPr>
              <w:jc w:val="center"/>
            </w:pPr>
            <w:r>
              <w:t>17</w:t>
            </w:r>
          </w:p>
        </w:tc>
        <w:tc>
          <w:tcPr>
            <w:tcW w:w="1037" w:type="dxa"/>
          </w:tcPr>
          <w:p w:rsidR="00063096" w:rsidRDefault="00063096" w:rsidP="000A41D8">
            <w:pPr>
              <w:jc w:val="center"/>
            </w:pPr>
            <w:r>
              <w:t>4,82</w:t>
            </w:r>
          </w:p>
        </w:tc>
        <w:tc>
          <w:tcPr>
            <w:tcW w:w="809" w:type="dxa"/>
          </w:tcPr>
          <w:p w:rsidR="00063096" w:rsidRDefault="00063096" w:rsidP="000A41D8">
            <w:pPr>
              <w:jc w:val="center"/>
            </w:pPr>
            <w:r>
              <w:t>0,383</w:t>
            </w:r>
          </w:p>
        </w:tc>
        <w:tc>
          <w:tcPr>
            <w:tcW w:w="1047" w:type="dxa"/>
          </w:tcPr>
          <w:p w:rsidR="00063096" w:rsidRDefault="00063096" w:rsidP="000A41D8">
            <w:pPr>
              <w:jc w:val="center"/>
            </w:pPr>
            <w:r>
              <w:t>47,71</w:t>
            </w:r>
          </w:p>
        </w:tc>
        <w:tc>
          <w:tcPr>
            <w:tcW w:w="1026" w:type="dxa"/>
          </w:tcPr>
          <w:p w:rsidR="00063096" w:rsidRDefault="00063096" w:rsidP="000A41D8">
            <w:pPr>
              <w:jc w:val="center"/>
            </w:pPr>
            <w:r>
              <w:t>8</w:t>
            </w:r>
          </w:p>
        </w:tc>
        <w:tc>
          <w:tcPr>
            <w:tcW w:w="1034" w:type="dxa"/>
          </w:tcPr>
          <w:p w:rsidR="00063096" w:rsidRDefault="00063096" w:rsidP="000A41D8">
            <w:pPr>
              <w:jc w:val="center"/>
            </w:pPr>
            <w:r>
              <w:t>9,91</w:t>
            </w:r>
          </w:p>
        </w:tc>
      </w:tr>
      <w:tr w:rsidR="00063096" w:rsidRPr="0032541C" w:rsidTr="000A41D8">
        <w:trPr>
          <w:trHeight w:hRule="exact" w:val="284"/>
          <w:jc w:val="center"/>
        </w:trPr>
        <w:tc>
          <w:tcPr>
            <w:tcW w:w="799" w:type="dxa"/>
            <w:tcMar>
              <w:top w:w="28" w:type="dxa"/>
              <w:bottom w:w="28" w:type="dxa"/>
            </w:tcMar>
          </w:tcPr>
          <w:p w:rsidR="00063096" w:rsidRDefault="00063096" w:rsidP="000A41D8">
            <w:pPr>
              <w:spacing w:after="120"/>
              <w:jc w:val="center"/>
            </w:pPr>
            <w:r>
              <w:t>2500</w:t>
            </w:r>
          </w:p>
        </w:tc>
        <w:tc>
          <w:tcPr>
            <w:tcW w:w="878" w:type="dxa"/>
            <w:tcMar>
              <w:top w:w="28" w:type="dxa"/>
              <w:bottom w:w="28" w:type="dxa"/>
            </w:tcMar>
            <w:vAlign w:val="center"/>
          </w:tcPr>
          <w:p w:rsidR="00063096" w:rsidRDefault="00063096" w:rsidP="000A41D8">
            <w:pPr>
              <w:spacing w:after="120"/>
              <w:jc w:val="center"/>
            </w:pPr>
            <w:r>
              <w:t>0,641</w:t>
            </w:r>
          </w:p>
        </w:tc>
        <w:tc>
          <w:tcPr>
            <w:tcW w:w="1049" w:type="dxa"/>
            <w:tcMar>
              <w:top w:w="28" w:type="dxa"/>
              <w:bottom w:w="28" w:type="dxa"/>
            </w:tcMar>
          </w:tcPr>
          <w:p w:rsidR="00063096" w:rsidRDefault="00063096" w:rsidP="000A41D8">
            <w:pPr>
              <w:jc w:val="center"/>
            </w:pPr>
            <w:r>
              <w:t>49,68</w:t>
            </w:r>
          </w:p>
        </w:tc>
        <w:tc>
          <w:tcPr>
            <w:tcW w:w="1021" w:type="dxa"/>
            <w:tcMar>
              <w:top w:w="28" w:type="dxa"/>
              <w:bottom w:w="28" w:type="dxa"/>
            </w:tcMar>
          </w:tcPr>
          <w:p w:rsidR="00063096" w:rsidRDefault="00063096" w:rsidP="000A41D8">
            <w:pPr>
              <w:jc w:val="center"/>
            </w:pPr>
            <w:r>
              <w:t>13</w:t>
            </w:r>
          </w:p>
        </w:tc>
        <w:tc>
          <w:tcPr>
            <w:tcW w:w="1037" w:type="dxa"/>
          </w:tcPr>
          <w:p w:rsidR="00063096" w:rsidRDefault="00063096" w:rsidP="000A41D8">
            <w:pPr>
              <w:jc w:val="center"/>
            </w:pPr>
            <w:r>
              <w:t>4,92</w:t>
            </w:r>
          </w:p>
        </w:tc>
        <w:tc>
          <w:tcPr>
            <w:tcW w:w="809" w:type="dxa"/>
          </w:tcPr>
          <w:p w:rsidR="00063096" w:rsidRDefault="00063096" w:rsidP="000A41D8">
            <w:pPr>
              <w:jc w:val="center"/>
            </w:pPr>
            <w:r>
              <w:t>0,330</w:t>
            </w:r>
          </w:p>
        </w:tc>
        <w:tc>
          <w:tcPr>
            <w:tcW w:w="1047" w:type="dxa"/>
          </w:tcPr>
          <w:p w:rsidR="00063096" w:rsidRDefault="00063096" w:rsidP="000A41D8">
            <w:pPr>
              <w:jc w:val="center"/>
            </w:pPr>
            <w:r>
              <w:t>53,01</w:t>
            </w:r>
          </w:p>
        </w:tc>
        <w:tc>
          <w:tcPr>
            <w:tcW w:w="1026" w:type="dxa"/>
          </w:tcPr>
          <w:p w:rsidR="00063096" w:rsidRDefault="00063096" w:rsidP="000A41D8">
            <w:pPr>
              <w:jc w:val="center"/>
            </w:pPr>
            <w:r>
              <w:t>6</w:t>
            </w:r>
          </w:p>
        </w:tc>
        <w:tc>
          <w:tcPr>
            <w:tcW w:w="1034" w:type="dxa"/>
          </w:tcPr>
          <w:p w:rsidR="00063096" w:rsidRDefault="00063096" w:rsidP="000A41D8">
            <w:pPr>
              <w:jc w:val="center"/>
            </w:pPr>
            <w:r>
              <w:t>10,23</w:t>
            </w:r>
          </w:p>
        </w:tc>
      </w:tr>
      <w:tr w:rsidR="00063096" w:rsidRPr="0032541C" w:rsidTr="000A41D8">
        <w:trPr>
          <w:trHeight w:hRule="exact" w:val="284"/>
          <w:jc w:val="center"/>
        </w:trPr>
        <w:tc>
          <w:tcPr>
            <w:tcW w:w="799" w:type="dxa"/>
            <w:tcMar>
              <w:top w:w="28" w:type="dxa"/>
              <w:bottom w:w="28" w:type="dxa"/>
            </w:tcMar>
          </w:tcPr>
          <w:p w:rsidR="00063096" w:rsidRDefault="00063096" w:rsidP="000A41D8">
            <w:pPr>
              <w:spacing w:after="120"/>
              <w:jc w:val="center"/>
            </w:pPr>
            <w:r>
              <w:t>3000</w:t>
            </w:r>
          </w:p>
        </w:tc>
        <w:tc>
          <w:tcPr>
            <w:tcW w:w="878" w:type="dxa"/>
            <w:tcMar>
              <w:top w:w="28" w:type="dxa"/>
              <w:bottom w:w="28" w:type="dxa"/>
            </w:tcMar>
            <w:vAlign w:val="center"/>
          </w:tcPr>
          <w:p w:rsidR="00063096" w:rsidRDefault="00063096" w:rsidP="000A41D8">
            <w:pPr>
              <w:spacing w:after="120"/>
              <w:jc w:val="center"/>
            </w:pPr>
            <w:r>
              <w:t>0,552</w:t>
            </w:r>
          </w:p>
        </w:tc>
        <w:tc>
          <w:tcPr>
            <w:tcW w:w="1049" w:type="dxa"/>
            <w:tcMar>
              <w:top w:w="28" w:type="dxa"/>
              <w:bottom w:w="28" w:type="dxa"/>
            </w:tcMar>
          </w:tcPr>
          <w:p w:rsidR="00063096" w:rsidRDefault="00063096" w:rsidP="000A41D8">
            <w:pPr>
              <w:jc w:val="center"/>
            </w:pPr>
            <w:r>
              <w:t>52,72</w:t>
            </w:r>
          </w:p>
        </w:tc>
        <w:tc>
          <w:tcPr>
            <w:tcW w:w="1021" w:type="dxa"/>
            <w:tcMar>
              <w:top w:w="28" w:type="dxa"/>
              <w:bottom w:w="28" w:type="dxa"/>
            </w:tcMar>
          </w:tcPr>
          <w:p w:rsidR="00063096" w:rsidRDefault="00063096" w:rsidP="000A41D8">
            <w:pPr>
              <w:jc w:val="center"/>
            </w:pPr>
            <w:r>
              <w:t>10</w:t>
            </w:r>
          </w:p>
        </w:tc>
        <w:tc>
          <w:tcPr>
            <w:tcW w:w="1037" w:type="dxa"/>
          </w:tcPr>
          <w:p w:rsidR="00063096" w:rsidRDefault="00063096" w:rsidP="000A41D8">
            <w:pPr>
              <w:jc w:val="center"/>
            </w:pPr>
            <w:r>
              <w:t>5,07</w:t>
            </w:r>
          </w:p>
        </w:tc>
        <w:tc>
          <w:tcPr>
            <w:tcW w:w="809" w:type="dxa"/>
          </w:tcPr>
          <w:p w:rsidR="00063096" w:rsidRDefault="00063096" w:rsidP="000A41D8">
            <w:pPr>
              <w:jc w:val="center"/>
            </w:pPr>
            <w:r>
              <w:t>0,287</w:t>
            </w:r>
          </w:p>
        </w:tc>
        <w:tc>
          <w:tcPr>
            <w:tcW w:w="1047" w:type="dxa"/>
          </w:tcPr>
          <w:p w:rsidR="00063096" w:rsidRDefault="00063096" w:rsidP="000A41D8">
            <w:pPr>
              <w:jc w:val="center"/>
            </w:pPr>
            <w:r>
              <w:t>57,29</w:t>
            </w:r>
          </w:p>
        </w:tc>
        <w:tc>
          <w:tcPr>
            <w:tcW w:w="1026" w:type="dxa"/>
          </w:tcPr>
          <w:p w:rsidR="00063096" w:rsidRDefault="00063096" w:rsidP="000A41D8">
            <w:pPr>
              <w:jc w:val="center"/>
            </w:pPr>
            <w:r>
              <w:t>5</w:t>
            </w:r>
          </w:p>
        </w:tc>
        <w:tc>
          <w:tcPr>
            <w:tcW w:w="1034" w:type="dxa"/>
          </w:tcPr>
          <w:p w:rsidR="00063096" w:rsidRDefault="00063096" w:rsidP="000A41D8">
            <w:pPr>
              <w:jc w:val="center"/>
            </w:pPr>
            <w:r>
              <w:t>10,59</w:t>
            </w:r>
          </w:p>
        </w:tc>
      </w:tr>
      <w:tr w:rsidR="00063096" w:rsidRPr="0032541C" w:rsidTr="000A41D8">
        <w:trPr>
          <w:trHeight w:hRule="exact" w:val="284"/>
          <w:jc w:val="center"/>
        </w:trPr>
        <w:tc>
          <w:tcPr>
            <w:tcW w:w="79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063096" w:rsidRDefault="00063096" w:rsidP="000A41D8">
            <w:pPr>
              <w:spacing w:after="120"/>
              <w:jc w:val="center"/>
            </w:pPr>
            <w:r>
              <w:t>4000</w:t>
            </w:r>
          </w:p>
        </w:tc>
        <w:tc>
          <w:tcPr>
            <w:tcW w:w="878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63096" w:rsidRDefault="00063096" w:rsidP="000A41D8">
            <w:pPr>
              <w:spacing w:after="120"/>
              <w:jc w:val="center"/>
            </w:pPr>
            <w:r>
              <w:t>0,410</w:t>
            </w:r>
          </w:p>
        </w:tc>
        <w:tc>
          <w:tcPr>
            <w:tcW w:w="104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063096" w:rsidRDefault="00063096" w:rsidP="000A41D8">
            <w:pPr>
              <w:jc w:val="center"/>
            </w:pPr>
            <w:r>
              <w:t>55,60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063096" w:rsidRDefault="00063096" w:rsidP="000A41D8">
            <w:pPr>
              <w:jc w:val="center"/>
            </w:pPr>
            <w:r>
              <w:t>7</w:t>
            </w: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:rsidR="00063096" w:rsidRDefault="00063096" w:rsidP="000A41D8">
            <w:pPr>
              <w:jc w:val="center"/>
            </w:pPr>
            <w:r>
              <w:t>5,40</w:t>
            </w: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:rsidR="00063096" w:rsidRDefault="00063096" w:rsidP="000A41D8">
            <w:pPr>
              <w:jc w:val="center"/>
            </w:pPr>
            <w:r>
              <w:t>0,206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063096" w:rsidRDefault="00063096" w:rsidP="000A41D8">
            <w:pPr>
              <w:jc w:val="center"/>
            </w:pPr>
            <w:r>
              <w:t>58,41</w:t>
            </w: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:rsidR="00063096" w:rsidRDefault="00063096" w:rsidP="000A41D8">
            <w:pPr>
              <w:jc w:val="center"/>
            </w:pPr>
            <w:r>
              <w:t>4</w:t>
            </w:r>
          </w:p>
        </w:tc>
        <w:tc>
          <w:tcPr>
            <w:tcW w:w="1034" w:type="dxa"/>
            <w:tcBorders>
              <w:bottom w:val="single" w:sz="4" w:space="0" w:color="auto"/>
            </w:tcBorders>
          </w:tcPr>
          <w:p w:rsidR="00063096" w:rsidRDefault="00063096" w:rsidP="000A41D8">
            <w:pPr>
              <w:jc w:val="center"/>
            </w:pPr>
            <w:r>
              <w:t>11,28</w:t>
            </w:r>
          </w:p>
        </w:tc>
      </w:tr>
    </w:tbl>
    <w:p w:rsidR="00063096" w:rsidRDefault="00063096" w:rsidP="00063096">
      <w:pPr>
        <w:pStyle w:val="Bntextrga"/>
        <w:spacing w:line="360" w:lineRule="auto"/>
        <w:rPr>
          <w:szCs w:val="24"/>
        </w:rPr>
      </w:pPr>
    </w:p>
    <w:p w:rsidR="00063096" w:rsidRDefault="00063096" w:rsidP="00063096">
      <w:pPr>
        <w:pStyle w:val="Bntextrga"/>
        <w:spacing w:line="360" w:lineRule="auto"/>
        <w:ind w:firstLine="708"/>
        <w:jc w:val="both"/>
        <w:rPr>
          <w:szCs w:val="24"/>
        </w:rPr>
      </w:pPr>
      <w:r>
        <w:rPr>
          <w:szCs w:val="24"/>
        </w:rPr>
        <w:t xml:space="preserve">Na grafu 3.5.4 můžeme zřetelně pozorovat exponenciální pokles kapacitance jak pro hodnotu </w:t>
      </w:r>
      <w:r w:rsidRPr="00115B4F">
        <w:rPr>
          <w:i/>
          <w:szCs w:val="24"/>
        </w:rPr>
        <w:t>C</w:t>
      </w:r>
      <w:r w:rsidRPr="00115B4F">
        <w:rPr>
          <w:szCs w:val="24"/>
          <w:vertAlign w:val="subscript"/>
        </w:rPr>
        <w:t>1</w:t>
      </w:r>
      <w:r>
        <w:rPr>
          <w:szCs w:val="24"/>
        </w:rPr>
        <w:t xml:space="preserve"> = 4,7 </w:t>
      </w:r>
      <w:r>
        <w:rPr>
          <w:rFonts w:cs="Times New Roman"/>
          <w:szCs w:val="24"/>
        </w:rPr>
        <w:t>µ</w:t>
      </w:r>
      <w:r>
        <w:rPr>
          <w:szCs w:val="24"/>
        </w:rPr>
        <w:t xml:space="preserve">F (modrá křivka), tak pro hodnotu </w:t>
      </w:r>
      <w:r w:rsidRPr="00115B4F">
        <w:rPr>
          <w:i/>
          <w:szCs w:val="24"/>
        </w:rPr>
        <w:t>C</w:t>
      </w:r>
      <w:r>
        <w:rPr>
          <w:szCs w:val="24"/>
          <w:vertAlign w:val="subscript"/>
        </w:rPr>
        <w:t>2</w:t>
      </w:r>
      <w:r>
        <w:rPr>
          <w:szCs w:val="24"/>
        </w:rPr>
        <w:t xml:space="preserve"> = 9,4 </w:t>
      </w:r>
      <w:r>
        <w:rPr>
          <w:rFonts w:cs="Times New Roman"/>
          <w:szCs w:val="24"/>
        </w:rPr>
        <w:t>µ</w:t>
      </w:r>
      <w:r>
        <w:rPr>
          <w:szCs w:val="24"/>
        </w:rPr>
        <w:t>F. Z důvodu přehlednosti jsme do grafu nezakreslili teoretické hodnoty kapacitance vypočítané ze vztahu (3.5.1). Jak lze rychle ověřit v programu MS Excel, graf teoretických hodnot je v rámci nejistoty měření identický s grafem naměřených hodnot.</w:t>
      </w:r>
    </w:p>
    <w:p w:rsidR="00063096" w:rsidRDefault="00063096" w:rsidP="00063096">
      <w:pPr>
        <w:pStyle w:val="Bntextrga"/>
        <w:spacing w:line="360" w:lineRule="auto"/>
        <w:jc w:val="center"/>
        <w:rPr>
          <w:szCs w:val="24"/>
        </w:rPr>
      </w:pPr>
      <w:r>
        <w:rPr>
          <w:noProof/>
          <w:lang w:eastAsia="cs-CZ"/>
        </w:rPr>
        <w:lastRenderedPageBreak/>
        <w:drawing>
          <wp:inline distT="0" distB="0" distL="0" distR="0" wp14:anchorId="2990AA23" wp14:editId="2DDBCF77">
            <wp:extent cx="5760000" cy="3240000"/>
            <wp:effectExtent l="0" t="0" r="12700" b="17780"/>
            <wp:docPr id="10" name="Graf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63096" w:rsidRPr="005B2875" w:rsidRDefault="00063096" w:rsidP="00063096">
      <w:pPr>
        <w:pStyle w:val="Bntextrga"/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Obrázek 3.5.4 Graf závislosti kapacitance a induktance na frekvenci</w:t>
      </w:r>
    </w:p>
    <w:p w:rsidR="00063096" w:rsidRDefault="00063096" w:rsidP="00063096">
      <w:pPr>
        <w:pStyle w:val="Bntextrga"/>
        <w:spacing w:line="360" w:lineRule="auto"/>
        <w:ind w:firstLine="708"/>
        <w:jc w:val="both"/>
        <w:rPr>
          <w:rFonts w:eastAsiaTheme="minorEastAsia"/>
          <w:szCs w:val="24"/>
        </w:rPr>
      </w:pPr>
    </w:p>
    <w:p w:rsidR="00063096" w:rsidRDefault="00063096" w:rsidP="00063096">
      <w:pPr>
        <w:pStyle w:val="Bntextrga"/>
        <w:spacing w:line="360" w:lineRule="auto"/>
        <w:ind w:firstLine="708"/>
        <w:jc w:val="both"/>
        <w:rPr>
          <w:szCs w:val="24"/>
        </w:rPr>
      </w:pPr>
      <w:r>
        <w:rPr>
          <w:rFonts w:eastAsiaTheme="minorEastAsia"/>
          <w:szCs w:val="24"/>
        </w:rPr>
        <w:t>Experimentálně zjištěné hodnoty induktance jsou uvedeny v tabulce 3.5.2. Grafická závislost induktance na frekvenci proudu je zobrazena červenou lineární křivkou na obrázku 3.5.4. Hodnoty indukčnosti cívky v posledním sloupci tabulky jsou vypočítány ze vztahu (3.5.2).</w:t>
      </w:r>
    </w:p>
    <w:p w:rsidR="0069187A" w:rsidRDefault="0069187A" w:rsidP="00063096">
      <w:pPr>
        <w:spacing w:after="12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cs-CZ"/>
        </w:rPr>
      </w:pPr>
    </w:p>
    <w:p w:rsidR="00063096" w:rsidRPr="0032541C" w:rsidRDefault="00063096" w:rsidP="00063096">
      <w:pPr>
        <w:spacing w:after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cs-CZ"/>
        </w:rPr>
        <w:t>Tabulka 3.5.2</w:t>
      </w:r>
      <w:r w:rsidRPr="0032541C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cs-CZ"/>
        </w:rPr>
        <w:t>Měření induktance cívky v závislosti na frekvenci</w:t>
      </w:r>
    </w:p>
    <w:tbl>
      <w:tblPr>
        <w:tblStyle w:val="Mkatabulky3"/>
        <w:tblW w:w="92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5"/>
        <w:gridCol w:w="1395"/>
        <w:gridCol w:w="1417"/>
        <w:gridCol w:w="1861"/>
        <w:gridCol w:w="1763"/>
        <w:gridCol w:w="1547"/>
      </w:tblGrid>
      <w:tr w:rsidR="00063096" w:rsidRPr="0032541C" w:rsidTr="000A41D8">
        <w:trPr>
          <w:trHeight w:hRule="exact" w:val="454"/>
          <w:jc w:val="center"/>
        </w:trPr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063096" w:rsidRPr="00845B24" w:rsidRDefault="00063096" w:rsidP="000A41D8">
            <w:pPr>
              <w:spacing w:after="120"/>
              <w:jc w:val="center"/>
            </w:pPr>
            <w:r>
              <w:rPr>
                <w:i/>
              </w:rPr>
              <w:t>f</w:t>
            </w:r>
            <w:r>
              <w:t xml:space="preserve"> (Hz)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063096" w:rsidRPr="0032541C" w:rsidRDefault="00063096" w:rsidP="000A41D8">
            <w:pPr>
              <w:spacing w:after="120"/>
              <w:jc w:val="center"/>
            </w:pPr>
            <w:r>
              <w:rPr>
                <w:i/>
              </w:rPr>
              <w:t>U</w:t>
            </w:r>
            <w:r w:rsidRPr="0032541C">
              <w:t xml:space="preserve"> (</w:t>
            </w:r>
            <w:proofErr w:type="spellStart"/>
            <w:r>
              <w:t>mV</w:t>
            </w:r>
            <w:proofErr w:type="spellEnd"/>
            <w:r w:rsidRPr="0032541C">
              <w:t>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063096" w:rsidRPr="0032541C" w:rsidRDefault="00063096" w:rsidP="000A41D8">
            <w:pPr>
              <w:spacing w:after="120"/>
              <w:jc w:val="center"/>
            </w:pPr>
            <m:oMath>
              <m:r>
                <w:rPr>
                  <w:rFonts w:ascii="Cambria Math" w:hAnsi="Cambria Math"/>
                </w:rPr>
                <m:t>I</m:t>
              </m:r>
            </m:oMath>
            <w:r w:rsidRPr="0032541C">
              <w:t xml:space="preserve"> (</w:t>
            </w:r>
            <w:r>
              <w:t>mA</w:t>
            </w:r>
            <w:r w:rsidRPr="0032541C">
              <w:t>)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063096" w:rsidRPr="0032541C" w:rsidRDefault="00590E8D" w:rsidP="000A41D8">
            <w:pPr>
              <w:spacing w:after="120"/>
              <w:jc w:val="center"/>
              <w:rPr>
                <w:rFonts w:eastAsia="Times New Roman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/>
                    </w:rPr>
                    <m:t>L-exp</m:t>
                  </m:r>
                </m:sub>
              </m:sSub>
            </m:oMath>
            <w:r w:rsidR="00063096" w:rsidRPr="0032541C">
              <w:rPr>
                <w:rFonts w:eastAsia="Times New Roman"/>
              </w:rPr>
              <w:t xml:space="preserve"> (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Ω</m:t>
              </m:r>
            </m:oMath>
            <w:r w:rsidR="00063096" w:rsidRPr="0032541C">
              <w:rPr>
                <w:rFonts w:eastAsia="Times New Roman"/>
              </w:rPr>
              <w:t>)</w:t>
            </w: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063096" w:rsidRDefault="00590E8D" w:rsidP="000A41D8">
            <w:pPr>
              <w:spacing w:after="120"/>
              <w:jc w:val="center"/>
              <w:rPr>
                <w:rFonts w:eastAsia="Calibri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/>
                    </w:rPr>
                    <m:t>L-teor</m:t>
                  </m:r>
                </m:sub>
              </m:sSub>
            </m:oMath>
            <w:r w:rsidR="00063096" w:rsidRPr="0032541C">
              <w:rPr>
                <w:rFonts w:eastAsia="Times New Roman"/>
              </w:rPr>
              <w:t xml:space="preserve"> (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Ω</m:t>
              </m:r>
            </m:oMath>
            <w:r w:rsidR="00063096" w:rsidRPr="0032541C">
              <w:rPr>
                <w:rFonts w:eastAsia="Times New Roman"/>
              </w:rPr>
              <w:t>)</w:t>
            </w: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63096" w:rsidRDefault="00063096" w:rsidP="000A41D8">
            <w:pPr>
              <w:spacing w:after="120"/>
              <w:jc w:val="center"/>
              <w:rPr>
                <w:rFonts w:eastAsia="Calibri"/>
              </w:rPr>
            </w:pPr>
            <w:r w:rsidRPr="00873F3B">
              <w:rPr>
                <w:rFonts w:eastAsia="Calibri"/>
                <w:i/>
              </w:rPr>
              <w:t>L</w:t>
            </w:r>
            <w:r>
              <w:rPr>
                <w:rFonts w:eastAsia="Calibri"/>
              </w:rPr>
              <w:t xml:space="preserve"> (</w:t>
            </w:r>
            <w:proofErr w:type="spellStart"/>
            <w:r>
              <w:rPr>
                <w:rFonts w:eastAsia="Calibri"/>
              </w:rPr>
              <w:t>mH</w:t>
            </w:r>
            <w:proofErr w:type="spellEnd"/>
            <w:r>
              <w:rPr>
                <w:rFonts w:eastAsia="Calibri"/>
              </w:rPr>
              <w:t>)</w:t>
            </w:r>
          </w:p>
        </w:tc>
      </w:tr>
      <w:tr w:rsidR="00063096" w:rsidRPr="0032541C" w:rsidTr="000A41D8">
        <w:trPr>
          <w:trHeight w:hRule="exact" w:val="284"/>
          <w:jc w:val="center"/>
        </w:trPr>
        <w:tc>
          <w:tcPr>
            <w:tcW w:w="1305" w:type="dxa"/>
            <w:tcMar>
              <w:top w:w="28" w:type="dxa"/>
              <w:bottom w:w="28" w:type="dxa"/>
            </w:tcMar>
          </w:tcPr>
          <w:p w:rsidR="00063096" w:rsidRDefault="00063096" w:rsidP="000A41D8">
            <w:pPr>
              <w:spacing w:after="120"/>
              <w:jc w:val="center"/>
            </w:pPr>
            <w:r>
              <w:t>100</w:t>
            </w:r>
          </w:p>
        </w:tc>
        <w:tc>
          <w:tcPr>
            <w:tcW w:w="1395" w:type="dxa"/>
            <w:tcMar>
              <w:top w:w="28" w:type="dxa"/>
              <w:bottom w:w="28" w:type="dxa"/>
            </w:tcMar>
            <w:vAlign w:val="center"/>
          </w:tcPr>
          <w:p w:rsidR="00063096" w:rsidRDefault="00063096" w:rsidP="000A41D8">
            <w:pPr>
              <w:spacing w:after="120"/>
              <w:jc w:val="center"/>
            </w:pPr>
            <w:r>
              <w:t>315</w:t>
            </w:r>
          </w:p>
        </w:tc>
        <w:tc>
          <w:tcPr>
            <w:tcW w:w="1417" w:type="dxa"/>
            <w:tcMar>
              <w:top w:w="28" w:type="dxa"/>
              <w:bottom w:w="28" w:type="dxa"/>
            </w:tcMar>
          </w:tcPr>
          <w:p w:rsidR="00063096" w:rsidRDefault="00063096" w:rsidP="000A41D8">
            <w:pPr>
              <w:jc w:val="center"/>
            </w:pPr>
            <w:r>
              <w:t>47,66</w:t>
            </w:r>
          </w:p>
        </w:tc>
        <w:tc>
          <w:tcPr>
            <w:tcW w:w="1861" w:type="dxa"/>
            <w:tcMar>
              <w:top w:w="28" w:type="dxa"/>
              <w:bottom w:w="28" w:type="dxa"/>
            </w:tcMar>
          </w:tcPr>
          <w:p w:rsidR="00063096" w:rsidRDefault="00063096" w:rsidP="000A41D8">
            <w:pPr>
              <w:jc w:val="center"/>
            </w:pPr>
            <w:r>
              <w:t>7</w:t>
            </w:r>
          </w:p>
        </w:tc>
        <w:tc>
          <w:tcPr>
            <w:tcW w:w="1763" w:type="dxa"/>
          </w:tcPr>
          <w:p w:rsidR="00063096" w:rsidRDefault="00063096" w:rsidP="000A41D8">
            <w:pPr>
              <w:jc w:val="center"/>
            </w:pPr>
            <w:r>
              <w:t>4</w:t>
            </w:r>
          </w:p>
        </w:tc>
        <w:tc>
          <w:tcPr>
            <w:tcW w:w="1547" w:type="dxa"/>
          </w:tcPr>
          <w:p w:rsidR="00063096" w:rsidRDefault="00063096" w:rsidP="000A41D8">
            <w:pPr>
              <w:jc w:val="center"/>
            </w:pPr>
            <w:r>
              <w:t>6,48</w:t>
            </w:r>
          </w:p>
        </w:tc>
      </w:tr>
      <w:tr w:rsidR="00063096" w:rsidRPr="0032541C" w:rsidTr="000A41D8">
        <w:trPr>
          <w:trHeight w:hRule="exact" w:val="284"/>
          <w:jc w:val="center"/>
        </w:trPr>
        <w:tc>
          <w:tcPr>
            <w:tcW w:w="1305" w:type="dxa"/>
            <w:tcMar>
              <w:top w:w="28" w:type="dxa"/>
              <w:bottom w:w="28" w:type="dxa"/>
            </w:tcMar>
          </w:tcPr>
          <w:p w:rsidR="00063096" w:rsidRDefault="00063096" w:rsidP="000A41D8">
            <w:pPr>
              <w:spacing w:after="120"/>
              <w:jc w:val="center"/>
            </w:pPr>
            <w:r>
              <w:t>200</w:t>
            </w:r>
          </w:p>
        </w:tc>
        <w:tc>
          <w:tcPr>
            <w:tcW w:w="1395" w:type="dxa"/>
            <w:tcMar>
              <w:top w:w="28" w:type="dxa"/>
              <w:bottom w:w="28" w:type="dxa"/>
            </w:tcMar>
            <w:vAlign w:val="center"/>
          </w:tcPr>
          <w:p w:rsidR="00063096" w:rsidRDefault="00063096" w:rsidP="000A41D8">
            <w:pPr>
              <w:spacing w:after="120"/>
              <w:jc w:val="center"/>
            </w:pPr>
            <w:r>
              <w:t>426</w:t>
            </w:r>
          </w:p>
        </w:tc>
        <w:tc>
          <w:tcPr>
            <w:tcW w:w="1417" w:type="dxa"/>
            <w:tcMar>
              <w:top w:w="28" w:type="dxa"/>
              <w:bottom w:w="28" w:type="dxa"/>
            </w:tcMar>
          </w:tcPr>
          <w:p w:rsidR="00063096" w:rsidRDefault="00063096" w:rsidP="000A41D8">
            <w:pPr>
              <w:jc w:val="center"/>
            </w:pPr>
            <w:r>
              <w:t>46,22</w:t>
            </w:r>
          </w:p>
        </w:tc>
        <w:tc>
          <w:tcPr>
            <w:tcW w:w="1861" w:type="dxa"/>
            <w:tcMar>
              <w:top w:w="28" w:type="dxa"/>
              <w:bottom w:w="28" w:type="dxa"/>
            </w:tcMar>
          </w:tcPr>
          <w:p w:rsidR="00063096" w:rsidRDefault="00063096" w:rsidP="000A41D8">
            <w:pPr>
              <w:jc w:val="center"/>
            </w:pPr>
            <w:r>
              <w:t>9</w:t>
            </w:r>
          </w:p>
        </w:tc>
        <w:tc>
          <w:tcPr>
            <w:tcW w:w="1763" w:type="dxa"/>
          </w:tcPr>
          <w:p w:rsidR="00063096" w:rsidRDefault="00063096" w:rsidP="000A41D8">
            <w:pPr>
              <w:jc w:val="center"/>
            </w:pPr>
            <w:r>
              <w:t>8</w:t>
            </w:r>
          </w:p>
        </w:tc>
        <w:tc>
          <w:tcPr>
            <w:tcW w:w="1547" w:type="dxa"/>
          </w:tcPr>
          <w:p w:rsidR="00063096" w:rsidRDefault="00063096" w:rsidP="000A41D8">
            <w:pPr>
              <w:jc w:val="center"/>
            </w:pPr>
            <w:r>
              <w:t>6,05</w:t>
            </w:r>
          </w:p>
        </w:tc>
      </w:tr>
      <w:tr w:rsidR="00063096" w:rsidRPr="0032541C" w:rsidTr="000A41D8">
        <w:trPr>
          <w:trHeight w:hRule="exact" w:val="284"/>
          <w:jc w:val="center"/>
        </w:trPr>
        <w:tc>
          <w:tcPr>
            <w:tcW w:w="1305" w:type="dxa"/>
            <w:tcMar>
              <w:top w:w="28" w:type="dxa"/>
              <w:bottom w:w="28" w:type="dxa"/>
            </w:tcMar>
          </w:tcPr>
          <w:p w:rsidR="00063096" w:rsidRDefault="00063096" w:rsidP="000A41D8">
            <w:pPr>
              <w:spacing w:after="120"/>
              <w:jc w:val="center"/>
            </w:pPr>
            <w:r>
              <w:t>500</w:t>
            </w:r>
          </w:p>
        </w:tc>
        <w:tc>
          <w:tcPr>
            <w:tcW w:w="1395" w:type="dxa"/>
            <w:tcMar>
              <w:top w:w="28" w:type="dxa"/>
              <w:bottom w:w="28" w:type="dxa"/>
            </w:tcMar>
            <w:vAlign w:val="center"/>
          </w:tcPr>
          <w:p w:rsidR="00063096" w:rsidRDefault="00063096" w:rsidP="000A41D8">
            <w:pPr>
              <w:spacing w:after="120"/>
              <w:jc w:val="center"/>
            </w:pPr>
            <w:r>
              <w:t>675</w:t>
            </w:r>
          </w:p>
        </w:tc>
        <w:tc>
          <w:tcPr>
            <w:tcW w:w="1417" w:type="dxa"/>
            <w:tcMar>
              <w:top w:w="28" w:type="dxa"/>
              <w:bottom w:w="28" w:type="dxa"/>
            </w:tcMar>
          </w:tcPr>
          <w:p w:rsidR="00063096" w:rsidRDefault="00063096" w:rsidP="000A41D8">
            <w:pPr>
              <w:jc w:val="center"/>
            </w:pPr>
            <w:r>
              <w:t>34,10</w:t>
            </w:r>
          </w:p>
        </w:tc>
        <w:tc>
          <w:tcPr>
            <w:tcW w:w="1861" w:type="dxa"/>
            <w:tcMar>
              <w:top w:w="28" w:type="dxa"/>
              <w:bottom w:w="28" w:type="dxa"/>
            </w:tcMar>
          </w:tcPr>
          <w:p w:rsidR="00063096" w:rsidRDefault="00063096" w:rsidP="000A41D8">
            <w:pPr>
              <w:jc w:val="center"/>
            </w:pPr>
            <w:r>
              <w:t>20</w:t>
            </w:r>
          </w:p>
        </w:tc>
        <w:tc>
          <w:tcPr>
            <w:tcW w:w="1763" w:type="dxa"/>
          </w:tcPr>
          <w:p w:rsidR="00063096" w:rsidRDefault="00063096" w:rsidP="000A41D8">
            <w:pPr>
              <w:jc w:val="center"/>
            </w:pPr>
            <w:r>
              <w:t>19</w:t>
            </w:r>
          </w:p>
        </w:tc>
        <w:tc>
          <w:tcPr>
            <w:tcW w:w="1547" w:type="dxa"/>
          </w:tcPr>
          <w:p w:rsidR="00063096" w:rsidRDefault="00063096" w:rsidP="000A41D8">
            <w:pPr>
              <w:jc w:val="center"/>
            </w:pPr>
            <w:r>
              <w:t>6,08</w:t>
            </w:r>
          </w:p>
        </w:tc>
      </w:tr>
      <w:tr w:rsidR="00063096" w:rsidRPr="0032541C" w:rsidTr="000A41D8">
        <w:trPr>
          <w:trHeight w:hRule="exact" w:val="284"/>
          <w:jc w:val="center"/>
        </w:trPr>
        <w:tc>
          <w:tcPr>
            <w:tcW w:w="1305" w:type="dxa"/>
            <w:tcMar>
              <w:top w:w="28" w:type="dxa"/>
              <w:bottom w:w="28" w:type="dxa"/>
            </w:tcMar>
          </w:tcPr>
          <w:p w:rsidR="00063096" w:rsidRDefault="00063096" w:rsidP="000A41D8">
            <w:pPr>
              <w:spacing w:after="120"/>
              <w:jc w:val="center"/>
            </w:pPr>
            <w:r>
              <w:t>700</w:t>
            </w:r>
          </w:p>
        </w:tc>
        <w:tc>
          <w:tcPr>
            <w:tcW w:w="1395" w:type="dxa"/>
            <w:tcMar>
              <w:top w:w="28" w:type="dxa"/>
              <w:bottom w:w="28" w:type="dxa"/>
            </w:tcMar>
            <w:vAlign w:val="center"/>
          </w:tcPr>
          <w:p w:rsidR="00063096" w:rsidRDefault="00063096" w:rsidP="000A41D8">
            <w:pPr>
              <w:spacing w:after="120"/>
              <w:jc w:val="center"/>
            </w:pPr>
            <w:r>
              <w:t>800</w:t>
            </w:r>
          </w:p>
        </w:tc>
        <w:tc>
          <w:tcPr>
            <w:tcW w:w="1417" w:type="dxa"/>
            <w:tcMar>
              <w:top w:w="28" w:type="dxa"/>
              <w:bottom w:w="28" w:type="dxa"/>
            </w:tcMar>
          </w:tcPr>
          <w:p w:rsidR="00063096" w:rsidRDefault="00063096" w:rsidP="000A41D8">
            <w:pPr>
              <w:jc w:val="center"/>
            </w:pPr>
            <w:r>
              <w:t>29,84</w:t>
            </w:r>
          </w:p>
        </w:tc>
        <w:tc>
          <w:tcPr>
            <w:tcW w:w="1861" w:type="dxa"/>
            <w:tcMar>
              <w:top w:w="28" w:type="dxa"/>
              <w:bottom w:w="28" w:type="dxa"/>
            </w:tcMar>
          </w:tcPr>
          <w:p w:rsidR="00063096" w:rsidRDefault="00063096" w:rsidP="000A41D8">
            <w:pPr>
              <w:jc w:val="center"/>
            </w:pPr>
            <w:r>
              <w:t>27</w:t>
            </w:r>
          </w:p>
        </w:tc>
        <w:tc>
          <w:tcPr>
            <w:tcW w:w="1763" w:type="dxa"/>
          </w:tcPr>
          <w:p w:rsidR="00063096" w:rsidRDefault="00063096" w:rsidP="000A41D8">
            <w:pPr>
              <w:jc w:val="center"/>
            </w:pPr>
            <w:r>
              <w:t>26</w:t>
            </w:r>
          </w:p>
        </w:tc>
        <w:tc>
          <w:tcPr>
            <w:tcW w:w="1547" w:type="dxa"/>
          </w:tcPr>
          <w:p w:rsidR="00063096" w:rsidRDefault="00063096" w:rsidP="000A41D8">
            <w:pPr>
              <w:jc w:val="center"/>
            </w:pPr>
            <w:r>
              <w:t>5,98</w:t>
            </w:r>
          </w:p>
        </w:tc>
      </w:tr>
      <w:tr w:rsidR="00063096" w:rsidRPr="0032541C" w:rsidTr="000A41D8">
        <w:trPr>
          <w:trHeight w:hRule="exact" w:val="284"/>
          <w:jc w:val="center"/>
        </w:trPr>
        <w:tc>
          <w:tcPr>
            <w:tcW w:w="1305" w:type="dxa"/>
            <w:tcMar>
              <w:top w:w="28" w:type="dxa"/>
              <w:bottom w:w="28" w:type="dxa"/>
            </w:tcMar>
          </w:tcPr>
          <w:p w:rsidR="00063096" w:rsidRDefault="00063096" w:rsidP="000A41D8">
            <w:pPr>
              <w:spacing w:after="120"/>
              <w:jc w:val="center"/>
            </w:pPr>
            <w:r>
              <w:t>1000</w:t>
            </w:r>
          </w:p>
        </w:tc>
        <w:tc>
          <w:tcPr>
            <w:tcW w:w="1395" w:type="dxa"/>
            <w:tcMar>
              <w:top w:w="28" w:type="dxa"/>
              <w:bottom w:w="28" w:type="dxa"/>
            </w:tcMar>
            <w:vAlign w:val="center"/>
          </w:tcPr>
          <w:p w:rsidR="00063096" w:rsidRDefault="00063096" w:rsidP="000A41D8">
            <w:pPr>
              <w:spacing w:after="120"/>
              <w:jc w:val="center"/>
            </w:pPr>
            <w:r>
              <w:t>954</w:t>
            </w:r>
          </w:p>
        </w:tc>
        <w:tc>
          <w:tcPr>
            <w:tcW w:w="1417" w:type="dxa"/>
            <w:tcMar>
              <w:top w:w="28" w:type="dxa"/>
              <w:bottom w:w="28" w:type="dxa"/>
            </w:tcMar>
          </w:tcPr>
          <w:p w:rsidR="00063096" w:rsidRDefault="00063096" w:rsidP="000A41D8">
            <w:pPr>
              <w:jc w:val="center"/>
            </w:pPr>
            <w:r>
              <w:t>25,48</w:t>
            </w:r>
          </w:p>
        </w:tc>
        <w:tc>
          <w:tcPr>
            <w:tcW w:w="1861" w:type="dxa"/>
            <w:tcMar>
              <w:top w:w="28" w:type="dxa"/>
              <w:bottom w:w="28" w:type="dxa"/>
            </w:tcMar>
          </w:tcPr>
          <w:p w:rsidR="00063096" w:rsidRDefault="00063096" w:rsidP="000A41D8">
            <w:pPr>
              <w:jc w:val="center"/>
            </w:pPr>
            <w:r>
              <w:t>37</w:t>
            </w:r>
          </w:p>
        </w:tc>
        <w:tc>
          <w:tcPr>
            <w:tcW w:w="1763" w:type="dxa"/>
          </w:tcPr>
          <w:p w:rsidR="00063096" w:rsidRDefault="00063096" w:rsidP="000A41D8">
            <w:pPr>
              <w:jc w:val="center"/>
            </w:pPr>
            <w:r>
              <w:t>38</w:t>
            </w:r>
          </w:p>
        </w:tc>
        <w:tc>
          <w:tcPr>
            <w:tcW w:w="1547" w:type="dxa"/>
          </w:tcPr>
          <w:p w:rsidR="00063096" w:rsidRDefault="00063096" w:rsidP="000A41D8">
            <w:pPr>
              <w:jc w:val="center"/>
            </w:pPr>
            <w:r>
              <w:t>5,90</w:t>
            </w:r>
          </w:p>
        </w:tc>
      </w:tr>
      <w:tr w:rsidR="00063096" w:rsidRPr="0032541C" w:rsidTr="000A41D8">
        <w:trPr>
          <w:trHeight w:hRule="exact" w:val="284"/>
          <w:jc w:val="center"/>
        </w:trPr>
        <w:tc>
          <w:tcPr>
            <w:tcW w:w="1305" w:type="dxa"/>
            <w:tcMar>
              <w:top w:w="28" w:type="dxa"/>
              <w:bottom w:w="28" w:type="dxa"/>
            </w:tcMar>
          </w:tcPr>
          <w:p w:rsidR="00063096" w:rsidRDefault="00063096" w:rsidP="000A41D8">
            <w:pPr>
              <w:spacing w:after="120"/>
              <w:jc w:val="center"/>
            </w:pPr>
            <w:r>
              <w:t>1500</w:t>
            </w:r>
          </w:p>
        </w:tc>
        <w:tc>
          <w:tcPr>
            <w:tcW w:w="1395" w:type="dxa"/>
            <w:tcMar>
              <w:top w:w="28" w:type="dxa"/>
              <w:bottom w:w="28" w:type="dxa"/>
            </w:tcMar>
            <w:vAlign w:val="center"/>
          </w:tcPr>
          <w:p w:rsidR="00063096" w:rsidRDefault="00063096" w:rsidP="000A41D8">
            <w:pPr>
              <w:spacing w:after="120"/>
              <w:jc w:val="center"/>
            </w:pPr>
            <w:r>
              <w:t>1052</w:t>
            </w:r>
          </w:p>
        </w:tc>
        <w:tc>
          <w:tcPr>
            <w:tcW w:w="1417" w:type="dxa"/>
            <w:tcMar>
              <w:top w:w="28" w:type="dxa"/>
              <w:bottom w:w="28" w:type="dxa"/>
            </w:tcMar>
          </w:tcPr>
          <w:p w:rsidR="00063096" w:rsidRDefault="00063096" w:rsidP="000A41D8">
            <w:pPr>
              <w:jc w:val="center"/>
            </w:pPr>
            <w:r>
              <w:t>19,14</w:t>
            </w:r>
          </w:p>
        </w:tc>
        <w:tc>
          <w:tcPr>
            <w:tcW w:w="1861" w:type="dxa"/>
            <w:tcMar>
              <w:top w:w="28" w:type="dxa"/>
              <w:bottom w:w="28" w:type="dxa"/>
            </w:tcMar>
          </w:tcPr>
          <w:p w:rsidR="00063096" w:rsidRDefault="00063096" w:rsidP="000A41D8">
            <w:pPr>
              <w:jc w:val="center"/>
            </w:pPr>
            <w:r>
              <w:t>55</w:t>
            </w:r>
          </w:p>
        </w:tc>
        <w:tc>
          <w:tcPr>
            <w:tcW w:w="1763" w:type="dxa"/>
          </w:tcPr>
          <w:p w:rsidR="00063096" w:rsidRDefault="00063096" w:rsidP="000A41D8">
            <w:pPr>
              <w:jc w:val="center"/>
            </w:pPr>
            <w:r>
              <w:t>57</w:t>
            </w:r>
          </w:p>
        </w:tc>
        <w:tc>
          <w:tcPr>
            <w:tcW w:w="1547" w:type="dxa"/>
          </w:tcPr>
          <w:p w:rsidR="00063096" w:rsidRDefault="00063096" w:rsidP="000A41D8">
            <w:pPr>
              <w:jc w:val="center"/>
            </w:pPr>
            <w:r>
              <w:t>5,81</w:t>
            </w:r>
          </w:p>
        </w:tc>
      </w:tr>
      <w:tr w:rsidR="00063096" w:rsidRPr="0032541C" w:rsidTr="000A41D8">
        <w:trPr>
          <w:trHeight w:hRule="exact" w:val="284"/>
          <w:jc w:val="center"/>
        </w:trPr>
        <w:tc>
          <w:tcPr>
            <w:tcW w:w="1305" w:type="dxa"/>
            <w:tcMar>
              <w:top w:w="28" w:type="dxa"/>
              <w:bottom w:w="28" w:type="dxa"/>
            </w:tcMar>
          </w:tcPr>
          <w:p w:rsidR="00063096" w:rsidRDefault="00063096" w:rsidP="000A41D8">
            <w:pPr>
              <w:spacing w:after="120"/>
              <w:jc w:val="center"/>
            </w:pPr>
            <w:r>
              <w:t>2000</w:t>
            </w:r>
          </w:p>
        </w:tc>
        <w:tc>
          <w:tcPr>
            <w:tcW w:w="1395" w:type="dxa"/>
            <w:tcMar>
              <w:top w:w="28" w:type="dxa"/>
              <w:bottom w:w="28" w:type="dxa"/>
            </w:tcMar>
            <w:vAlign w:val="center"/>
          </w:tcPr>
          <w:p w:rsidR="00063096" w:rsidRDefault="00063096" w:rsidP="000A41D8">
            <w:pPr>
              <w:spacing w:after="120"/>
              <w:jc w:val="center"/>
            </w:pPr>
            <w:r>
              <w:t>1069</w:t>
            </w:r>
          </w:p>
        </w:tc>
        <w:tc>
          <w:tcPr>
            <w:tcW w:w="1417" w:type="dxa"/>
            <w:tcMar>
              <w:top w:w="28" w:type="dxa"/>
              <w:bottom w:w="28" w:type="dxa"/>
            </w:tcMar>
          </w:tcPr>
          <w:p w:rsidR="00063096" w:rsidRDefault="00063096" w:rsidP="000A41D8">
            <w:pPr>
              <w:jc w:val="center"/>
            </w:pPr>
            <w:r>
              <w:t>14,86</w:t>
            </w:r>
          </w:p>
        </w:tc>
        <w:tc>
          <w:tcPr>
            <w:tcW w:w="1861" w:type="dxa"/>
            <w:tcMar>
              <w:top w:w="28" w:type="dxa"/>
              <w:bottom w:w="28" w:type="dxa"/>
            </w:tcMar>
          </w:tcPr>
          <w:p w:rsidR="00063096" w:rsidRDefault="00063096" w:rsidP="000A41D8">
            <w:pPr>
              <w:jc w:val="center"/>
            </w:pPr>
            <w:r>
              <w:t>72</w:t>
            </w:r>
          </w:p>
        </w:tc>
        <w:tc>
          <w:tcPr>
            <w:tcW w:w="1763" w:type="dxa"/>
          </w:tcPr>
          <w:p w:rsidR="00063096" w:rsidRDefault="00063096" w:rsidP="000A41D8">
            <w:pPr>
              <w:jc w:val="center"/>
            </w:pPr>
            <w:r>
              <w:t>75</w:t>
            </w:r>
          </w:p>
        </w:tc>
        <w:tc>
          <w:tcPr>
            <w:tcW w:w="1547" w:type="dxa"/>
          </w:tcPr>
          <w:p w:rsidR="00063096" w:rsidRDefault="00063096" w:rsidP="000A41D8">
            <w:pPr>
              <w:jc w:val="center"/>
            </w:pPr>
            <w:r>
              <w:t>5,71</w:t>
            </w:r>
          </w:p>
        </w:tc>
      </w:tr>
      <w:tr w:rsidR="00063096" w:rsidRPr="0032541C" w:rsidTr="000A41D8">
        <w:trPr>
          <w:trHeight w:hRule="exact" w:val="284"/>
          <w:jc w:val="center"/>
        </w:trPr>
        <w:tc>
          <w:tcPr>
            <w:tcW w:w="1305" w:type="dxa"/>
            <w:tcMar>
              <w:top w:w="28" w:type="dxa"/>
              <w:bottom w:w="28" w:type="dxa"/>
            </w:tcMar>
          </w:tcPr>
          <w:p w:rsidR="00063096" w:rsidRDefault="00063096" w:rsidP="000A41D8">
            <w:pPr>
              <w:spacing w:after="120"/>
              <w:jc w:val="center"/>
            </w:pPr>
            <w:r>
              <w:t>2500</w:t>
            </w:r>
          </w:p>
        </w:tc>
        <w:tc>
          <w:tcPr>
            <w:tcW w:w="1395" w:type="dxa"/>
            <w:tcMar>
              <w:top w:w="28" w:type="dxa"/>
              <w:bottom w:w="28" w:type="dxa"/>
            </w:tcMar>
            <w:vAlign w:val="center"/>
          </w:tcPr>
          <w:p w:rsidR="00063096" w:rsidRDefault="00063096" w:rsidP="000A41D8">
            <w:pPr>
              <w:spacing w:after="120"/>
              <w:jc w:val="center"/>
            </w:pPr>
            <w:r>
              <w:t>1048</w:t>
            </w:r>
          </w:p>
        </w:tc>
        <w:tc>
          <w:tcPr>
            <w:tcW w:w="1417" w:type="dxa"/>
            <w:tcMar>
              <w:top w:w="28" w:type="dxa"/>
              <w:bottom w:w="28" w:type="dxa"/>
            </w:tcMar>
          </w:tcPr>
          <w:p w:rsidR="00063096" w:rsidRDefault="00063096" w:rsidP="000A41D8">
            <w:pPr>
              <w:jc w:val="center"/>
            </w:pPr>
            <w:r>
              <w:t>11,78</w:t>
            </w:r>
          </w:p>
        </w:tc>
        <w:tc>
          <w:tcPr>
            <w:tcW w:w="1861" w:type="dxa"/>
            <w:tcMar>
              <w:top w:w="28" w:type="dxa"/>
              <w:bottom w:w="28" w:type="dxa"/>
            </w:tcMar>
          </w:tcPr>
          <w:p w:rsidR="00063096" w:rsidRDefault="00063096" w:rsidP="000A41D8">
            <w:pPr>
              <w:jc w:val="center"/>
            </w:pPr>
            <w:r>
              <w:t>89</w:t>
            </w:r>
          </w:p>
        </w:tc>
        <w:tc>
          <w:tcPr>
            <w:tcW w:w="1763" w:type="dxa"/>
          </w:tcPr>
          <w:p w:rsidR="00063096" w:rsidRDefault="00063096" w:rsidP="000A41D8">
            <w:pPr>
              <w:jc w:val="center"/>
            </w:pPr>
            <w:r>
              <w:t>94</w:t>
            </w:r>
          </w:p>
        </w:tc>
        <w:tc>
          <w:tcPr>
            <w:tcW w:w="1547" w:type="dxa"/>
          </w:tcPr>
          <w:p w:rsidR="00063096" w:rsidRDefault="00063096" w:rsidP="000A41D8">
            <w:pPr>
              <w:jc w:val="center"/>
            </w:pPr>
            <w:r>
              <w:t>5,65</w:t>
            </w:r>
          </w:p>
        </w:tc>
      </w:tr>
      <w:tr w:rsidR="00063096" w:rsidRPr="0032541C" w:rsidTr="000A41D8">
        <w:trPr>
          <w:trHeight w:hRule="exact" w:val="284"/>
          <w:jc w:val="center"/>
        </w:trPr>
        <w:tc>
          <w:tcPr>
            <w:tcW w:w="1305" w:type="dxa"/>
            <w:tcMar>
              <w:top w:w="28" w:type="dxa"/>
              <w:bottom w:w="28" w:type="dxa"/>
            </w:tcMar>
          </w:tcPr>
          <w:p w:rsidR="00063096" w:rsidRDefault="00063096" w:rsidP="000A41D8">
            <w:pPr>
              <w:spacing w:after="120"/>
              <w:jc w:val="center"/>
            </w:pPr>
            <w:r>
              <w:t>3000</w:t>
            </w:r>
          </w:p>
        </w:tc>
        <w:tc>
          <w:tcPr>
            <w:tcW w:w="1395" w:type="dxa"/>
            <w:tcMar>
              <w:top w:w="28" w:type="dxa"/>
              <w:bottom w:w="28" w:type="dxa"/>
            </w:tcMar>
            <w:vAlign w:val="center"/>
          </w:tcPr>
          <w:p w:rsidR="00063096" w:rsidRDefault="00063096" w:rsidP="000A41D8">
            <w:pPr>
              <w:spacing w:after="120"/>
              <w:jc w:val="center"/>
            </w:pPr>
            <w:r>
              <w:t>1047</w:t>
            </w:r>
          </w:p>
        </w:tc>
        <w:tc>
          <w:tcPr>
            <w:tcW w:w="1417" w:type="dxa"/>
            <w:tcMar>
              <w:top w:w="28" w:type="dxa"/>
              <w:bottom w:w="28" w:type="dxa"/>
            </w:tcMar>
          </w:tcPr>
          <w:p w:rsidR="00063096" w:rsidRDefault="00063096" w:rsidP="000A41D8">
            <w:pPr>
              <w:jc w:val="center"/>
            </w:pPr>
            <w:r>
              <w:t>10,08</w:t>
            </w:r>
          </w:p>
        </w:tc>
        <w:tc>
          <w:tcPr>
            <w:tcW w:w="1861" w:type="dxa"/>
            <w:tcMar>
              <w:top w:w="28" w:type="dxa"/>
              <w:bottom w:w="28" w:type="dxa"/>
            </w:tcMar>
          </w:tcPr>
          <w:p w:rsidR="00063096" w:rsidRDefault="00063096" w:rsidP="000A41D8">
            <w:pPr>
              <w:jc w:val="center"/>
            </w:pPr>
            <w:r>
              <w:t>104</w:t>
            </w:r>
          </w:p>
        </w:tc>
        <w:tc>
          <w:tcPr>
            <w:tcW w:w="1763" w:type="dxa"/>
          </w:tcPr>
          <w:p w:rsidR="00063096" w:rsidRDefault="00063096" w:rsidP="000A41D8">
            <w:pPr>
              <w:jc w:val="center"/>
            </w:pPr>
            <w:r>
              <w:t>113</w:t>
            </w:r>
          </w:p>
        </w:tc>
        <w:tc>
          <w:tcPr>
            <w:tcW w:w="1547" w:type="dxa"/>
          </w:tcPr>
          <w:p w:rsidR="00063096" w:rsidRDefault="00063096" w:rsidP="000A41D8">
            <w:pPr>
              <w:jc w:val="center"/>
            </w:pPr>
            <w:r>
              <w:t>5,50</w:t>
            </w:r>
          </w:p>
        </w:tc>
      </w:tr>
      <w:tr w:rsidR="00063096" w:rsidRPr="0032541C" w:rsidTr="000A41D8">
        <w:trPr>
          <w:trHeight w:hRule="exact" w:val="284"/>
          <w:jc w:val="center"/>
        </w:trPr>
        <w:tc>
          <w:tcPr>
            <w:tcW w:w="1305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063096" w:rsidRDefault="00063096" w:rsidP="000A41D8">
            <w:pPr>
              <w:spacing w:after="120"/>
              <w:jc w:val="center"/>
            </w:pPr>
            <w:r>
              <w:t>4000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63096" w:rsidRDefault="00063096" w:rsidP="000A41D8">
            <w:pPr>
              <w:spacing w:after="120"/>
              <w:jc w:val="center"/>
            </w:pPr>
            <w:r>
              <w:t>995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063096" w:rsidRDefault="00063096" w:rsidP="000A41D8">
            <w:pPr>
              <w:jc w:val="center"/>
            </w:pPr>
            <w:r>
              <w:t>7,63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063096" w:rsidRDefault="00063096" w:rsidP="000A41D8">
            <w:pPr>
              <w:jc w:val="center"/>
            </w:pPr>
            <w:r>
              <w:t>130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:rsidR="00063096" w:rsidRDefault="00063096" w:rsidP="000A41D8">
            <w:pPr>
              <w:jc w:val="center"/>
            </w:pPr>
            <w:r>
              <w:t>151</w:t>
            </w: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:rsidR="00063096" w:rsidRDefault="00063096" w:rsidP="000A41D8">
            <w:pPr>
              <w:jc w:val="center"/>
            </w:pPr>
            <w:r>
              <w:t>5,18</w:t>
            </w:r>
          </w:p>
        </w:tc>
      </w:tr>
    </w:tbl>
    <w:p w:rsidR="00063096" w:rsidRDefault="00063096" w:rsidP="00063096">
      <w:pPr>
        <w:pStyle w:val="Bntextrga"/>
        <w:spacing w:line="360" w:lineRule="auto"/>
        <w:rPr>
          <w:szCs w:val="24"/>
        </w:rPr>
      </w:pPr>
    </w:p>
    <w:p w:rsidR="00063096" w:rsidRDefault="00063096" w:rsidP="00063096">
      <w:pPr>
        <w:pStyle w:val="Bntextrga"/>
        <w:spacing w:line="360" w:lineRule="auto"/>
        <w:rPr>
          <w:b/>
          <w:szCs w:val="24"/>
        </w:rPr>
      </w:pPr>
    </w:p>
    <w:p w:rsidR="00063096" w:rsidRPr="00314AC4" w:rsidRDefault="00063096" w:rsidP="00063096">
      <w:pPr>
        <w:pStyle w:val="Bntextrga"/>
        <w:spacing w:line="360" w:lineRule="auto"/>
        <w:rPr>
          <w:sz w:val="20"/>
          <w:szCs w:val="20"/>
        </w:rPr>
      </w:pPr>
      <w:r>
        <w:rPr>
          <w:b/>
          <w:szCs w:val="24"/>
        </w:rPr>
        <w:lastRenderedPageBreak/>
        <w:t>Závěr</w:t>
      </w:r>
    </w:p>
    <w:p w:rsidR="00063096" w:rsidRDefault="00063096" w:rsidP="00063096">
      <w:pPr>
        <w:pStyle w:val="Bntextrga"/>
        <w:spacing w:line="360" w:lineRule="auto"/>
        <w:jc w:val="both"/>
        <w:rPr>
          <w:rFonts w:eastAsiaTheme="minorEastAsia"/>
          <w:szCs w:val="24"/>
        </w:rPr>
      </w:pPr>
      <w:r>
        <w:rPr>
          <w:szCs w:val="24"/>
        </w:rPr>
        <w:t>Grafický průběh frekvenční závislosti kapacitance na obrázku 3.5.4 má pro oba kondenzátory hyperbolický pokles zcela v souladu</w:t>
      </w:r>
      <w:r>
        <w:rPr>
          <w:rFonts w:eastAsiaTheme="minorEastAsia"/>
          <w:szCs w:val="24"/>
        </w:rPr>
        <w:t xml:space="preserve"> se vztahem (3.5.1). Experimentální i teoreticky vypočítané hodnoty se liší v jednom případě pro </w:t>
      </w:r>
      <w:r w:rsidRPr="00E56CE7">
        <w:rPr>
          <w:rFonts w:eastAsiaTheme="minorEastAsia"/>
          <w:i/>
          <w:szCs w:val="24"/>
        </w:rPr>
        <w:t>f</w:t>
      </w:r>
      <w:r>
        <w:rPr>
          <w:rFonts w:eastAsiaTheme="minorEastAsia"/>
          <w:szCs w:val="24"/>
        </w:rPr>
        <w:t xml:space="preserve"> = 100 Hz maximálně o 3 %, pro ostatní hodnoty frekvencí je rozdíl mezi teoretickými a experimentálně určenými hodnotami menší než 1,1 %.</w:t>
      </w:r>
    </w:p>
    <w:p w:rsidR="00063096" w:rsidRDefault="00063096" w:rsidP="00063096">
      <w:pPr>
        <w:pStyle w:val="Bntextrga"/>
        <w:spacing w:line="36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Průměrná hodnota kapacity jednoho kondenzátoru byla experimentálně určena jako </w:t>
      </w:r>
      <w:r>
        <w:rPr>
          <w:rFonts w:eastAsiaTheme="minorEastAsia"/>
          <w:szCs w:val="24"/>
        </w:rPr>
        <w:br/>
      </w:r>
      <m:oMath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C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Cs w:val="24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Cs w:val="24"/>
              </w:rPr>
              <m:t>4,8±0,2</m:t>
            </m:r>
          </m:e>
        </m:d>
        <m:r>
          <w:rPr>
            <w:rFonts w:ascii="Cambria Math" w:eastAsiaTheme="minorEastAsia" w:hAnsi="Cambria Math"/>
            <w:szCs w:val="24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/>
            <w:szCs w:val="24"/>
          </w:rPr>
          <m:t>μF</m:t>
        </m:r>
      </m:oMath>
      <w:r>
        <w:rPr>
          <w:rFonts w:eastAsiaTheme="minorEastAsia"/>
          <w:szCs w:val="24"/>
        </w:rPr>
        <w:t xml:space="preserve">. Hodnota uvedená na kondenzátoru je 4,7 </w:t>
      </w:r>
      <m:oMath>
        <m:r>
          <m:rPr>
            <m:sty m:val="p"/>
          </m:rPr>
          <w:rPr>
            <w:rFonts w:ascii="Cambria Math" w:eastAsiaTheme="minorEastAsia" w:hAnsi="Cambria Math"/>
            <w:szCs w:val="24"/>
          </w:rPr>
          <m:t>μF</m:t>
        </m:r>
      </m:oMath>
      <w:r>
        <w:rPr>
          <w:rFonts w:eastAsiaTheme="minorEastAsia"/>
          <w:szCs w:val="24"/>
        </w:rPr>
        <w:t xml:space="preserve"> </w:t>
      </w:r>
      <m:oMath>
        <m:r>
          <w:rPr>
            <w:rFonts w:ascii="Cambria Math" w:eastAsiaTheme="minorEastAsia" w:hAnsi="Cambria Math"/>
            <w:szCs w:val="24"/>
          </w:rPr>
          <m:t>±</m:t>
        </m:r>
      </m:oMath>
      <w:r>
        <w:rPr>
          <w:rFonts w:eastAsiaTheme="minorEastAsia"/>
          <w:szCs w:val="24"/>
        </w:rPr>
        <w:t xml:space="preserve"> 10%. Hodnota kapacity změřená přímo multimetrem VA18B je </w:t>
      </w:r>
      <m:oMath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C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Cs w:val="24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Cs w:val="24"/>
              </w:rPr>
              <m:t>4,6±0,1</m:t>
            </m:r>
          </m:e>
        </m:d>
        <m:r>
          <w:rPr>
            <w:rFonts w:ascii="Cambria Math" w:eastAsiaTheme="minorEastAsia" w:hAnsi="Cambria Math"/>
            <w:szCs w:val="24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/>
            <w:szCs w:val="24"/>
          </w:rPr>
          <m:t>μF.</m:t>
        </m:r>
      </m:oMath>
    </w:p>
    <w:p w:rsidR="00063096" w:rsidRDefault="00063096" w:rsidP="00063096">
      <w:pPr>
        <w:pStyle w:val="Bntextrga"/>
        <w:spacing w:line="36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Naměřená hodnota výborně koresponduje s hodnotou uvedenou na kondenzátoru a je důkazem toho, že multimetr VA18B měří s dostatečnou přesností střídavé napětí i proud i pro frekvence větší než 400 Hz</w:t>
      </w:r>
      <w:r w:rsidR="00A9116C">
        <w:rPr>
          <w:rFonts w:eastAsiaTheme="minorEastAsia"/>
          <w:szCs w:val="24"/>
        </w:rPr>
        <w:t>, kterou udává výrobce jako garantovanou horní mez přesnosti</w:t>
      </w:r>
      <w:r>
        <w:rPr>
          <w:rFonts w:eastAsiaTheme="minorEastAsia"/>
          <w:szCs w:val="24"/>
        </w:rPr>
        <w:t>.</w:t>
      </w:r>
    </w:p>
    <w:p w:rsidR="00063096" w:rsidRDefault="00063096" w:rsidP="00063096">
      <w:pPr>
        <w:pStyle w:val="Bntextrga"/>
        <w:spacing w:line="36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Pro dva paralelně zapojené kondenzátory jsme experimentálním měřením proudu a napětí získali hodnotu </w:t>
      </w:r>
      <m:oMath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C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2</m:t>
            </m:r>
          </m:sub>
        </m:sSub>
        <m:r>
          <w:rPr>
            <w:rFonts w:ascii="Cambria Math" w:eastAsiaTheme="minorEastAsia" w:hAnsi="Cambria Math"/>
            <w:szCs w:val="24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Cs w:val="24"/>
              </w:rPr>
              <m:t>9,9±0,2</m:t>
            </m:r>
          </m:e>
        </m:d>
        <m:r>
          <w:rPr>
            <w:rFonts w:ascii="Cambria Math" w:eastAsiaTheme="minorEastAsia" w:hAnsi="Cambria Math"/>
            <w:szCs w:val="24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/>
            <w:szCs w:val="24"/>
          </w:rPr>
          <m:t>μF</m:t>
        </m:r>
      </m:oMath>
      <w:r>
        <w:rPr>
          <w:rFonts w:eastAsiaTheme="minorEastAsia"/>
          <w:szCs w:val="24"/>
        </w:rPr>
        <w:t xml:space="preserve">, multimetr VA18B udal hodnotu </w:t>
      </w:r>
      <m:oMath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C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2</m:t>
            </m:r>
          </m:sub>
        </m:sSub>
        <m:r>
          <w:rPr>
            <w:rFonts w:ascii="Cambria Math" w:eastAsiaTheme="minorEastAsia" w:hAnsi="Cambria Math"/>
            <w:szCs w:val="24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Cs w:val="24"/>
              </w:rPr>
              <m:t>9,6±0,1</m:t>
            </m:r>
          </m:e>
        </m:d>
        <m:r>
          <w:rPr>
            <w:rFonts w:ascii="Cambria Math" w:eastAsiaTheme="minorEastAsia" w:hAnsi="Cambria Math"/>
            <w:szCs w:val="24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/>
            <w:szCs w:val="24"/>
          </w:rPr>
          <m:t>μF</m:t>
        </m:r>
      </m:oMath>
      <w:r>
        <w:rPr>
          <w:rFonts w:eastAsiaTheme="minorEastAsia"/>
          <w:szCs w:val="24"/>
        </w:rPr>
        <w:t>. Jak plyne z tabulky 3.5.1, hodnoty kapacity jsou vyšší o více než 1,1 % pro frekvence větší než 2500 Hz.</w:t>
      </w:r>
    </w:p>
    <w:p w:rsidR="00063096" w:rsidRDefault="00063096" w:rsidP="00063096">
      <w:pPr>
        <w:pStyle w:val="Bntextrga"/>
        <w:spacing w:line="360" w:lineRule="auto"/>
        <w:jc w:val="both"/>
        <w:rPr>
          <w:szCs w:val="24"/>
        </w:rPr>
      </w:pPr>
      <w:r>
        <w:rPr>
          <w:rFonts w:eastAsiaTheme="minorEastAsia"/>
          <w:szCs w:val="24"/>
        </w:rPr>
        <w:tab/>
        <w:t xml:space="preserve">Grafická závislost induktance na frekvenci, která je na obrázku 3.5.4 znázorněna červenou křivkou, je ukázkově lineární a koresponduje s lineární závislostí danou vztahem (3.5.2). </w:t>
      </w:r>
    </w:p>
    <w:p w:rsidR="00063096" w:rsidRDefault="00063096" w:rsidP="00063096">
      <w:pPr>
        <w:pStyle w:val="Bntextrga"/>
        <w:spacing w:line="360" w:lineRule="auto"/>
        <w:ind w:firstLine="708"/>
        <w:jc w:val="both"/>
        <w:rPr>
          <w:szCs w:val="24"/>
        </w:rPr>
      </w:pPr>
      <w:r>
        <w:rPr>
          <w:szCs w:val="24"/>
        </w:rPr>
        <w:t xml:space="preserve">V případě induktance se grafy teoretické a experimentální křivky shodují </w:t>
      </w:r>
      <w:r>
        <w:rPr>
          <w:szCs w:val="24"/>
        </w:rPr>
        <w:br/>
        <w:t>ve frekvenční oblasti 100 Hz – 2500 Hz. Pro větší frekvence jsou experimentální hodnoty v průměru o 10 % nižší.</w:t>
      </w:r>
    </w:p>
    <w:p w:rsidR="00063096" w:rsidRDefault="00063096" w:rsidP="00063096">
      <w:pPr>
        <w:pStyle w:val="Bntextrga"/>
        <w:spacing w:line="360" w:lineRule="auto"/>
        <w:jc w:val="both"/>
        <w:rPr>
          <w:szCs w:val="24"/>
        </w:rPr>
      </w:pPr>
      <w:r>
        <w:rPr>
          <w:szCs w:val="24"/>
        </w:rPr>
        <w:tab/>
        <w:t xml:space="preserve">Hodnota indukčnosti cívky určená podle měření uvedených v tabulce 3.5.2 byla určena jako </w:t>
      </w:r>
      <m:oMath>
        <m:r>
          <w:rPr>
            <w:rFonts w:ascii="Cambria Math" w:hAnsi="Cambria Math"/>
            <w:szCs w:val="24"/>
          </w:rPr>
          <m:t>L=</m:t>
        </m: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5,8±0,2</m:t>
            </m:r>
          </m:e>
        </m:d>
      </m:oMath>
      <w:r>
        <w:rPr>
          <w:rFonts w:eastAsiaTheme="minorEastAsia"/>
          <w:szCs w:val="24"/>
        </w:rPr>
        <w:t xml:space="preserve"> mH. Výsledek měření velmi dobře koresponduje s hodnotou </w:t>
      </w:r>
      <m:oMath>
        <m:r>
          <w:rPr>
            <w:rFonts w:ascii="Cambria Math" w:hAnsi="Cambria Math"/>
            <w:szCs w:val="24"/>
          </w:rPr>
          <m:t>L=6</m:t>
        </m:r>
      </m:oMath>
      <w:r>
        <w:rPr>
          <w:rFonts w:eastAsiaTheme="minorEastAsia"/>
          <w:szCs w:val="24"/>
        </w:rPr>
        <w:t xml:space="preserve"> mH uvedenou na cívce a podobně jako v případě měření kapacity kondenzátorů dokládá, že multimetr VA18B měří s uvedenou třídou přesnosti i v rozsahu 100 Hz – 3000 Hz.</w:t>
      </w:r>
    </w:p>
    <w:p w:rsidR="00063096" w:rsidRDefault="00063096" w:rsidP="00063096">
      <w:pPr>
        <w:pStyle w:val="Bntextrga"/>
        <w:spacing w:line="360" w:lineRule="auto"/>
        <w:rPr>
          <w:rFonts w:eastAsiaTheme="minorEastAsia"/>
          <w:szCs w:val="24"/>
        </w:rPr>
      </w:pPr>
      <w:bookmarkStart w:id="1" w:name="_GoBack"/>
      <w:bookmarkEnd w:id="1"/>
      <w:r w:rsidRPr="0055352D">
        <w:rPr>
          <w:rFonts w:eastAsiaTheme="minorEastAsia"/>
          <w:b/>
          <w:szCs w:val="24"/>
        </w:rPr>
        <w:t>Otázky na závěr</w:t>
      </w:r>
    </w:p>
    <w:p w:rsidR="00063096" w:rsidRDefault="00063096" w:rsidP="00063096">
      <w:pPr>
        <w:pStyle w:val="Bntextrga"/>
        <w:spacing w:line="36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1. Jak můžeme z grafu 3.5.4 určit hodnotu kapacity kondenzátoru?</w:t>
      </w:r>
    </w:p>
    <w:p w:rsidR="00DC7340" w:rsidRPr="00063096" w:rsidRDefault="00063096" w:rsidP="00063096">
      <w:pPr>
        <w:pStyle w:val="Bntextrga"/>
        <w:spacing w:line="36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2. Z lineární regresní funkce na obrázku 3.5.4 vypočítejte hodnotu indukčnosti cívky.</w:t>
      </w:r>
    </w:p>
    <w:sectPr w:rsidR="00DC7340" w:rsidRPr="000630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096"/>
    <w:rsid w:val="0000043B"/>
    <w:rsid w:val="00001476"/>
    <w:rsid w:val="000018F0"/>
    <w:rsid w:val="000033DE"/>
    <w:rsid w:val="00003B2F"/>
    <w:rsid w:val="00004461"/>
    <w:rsid w:val="000044D7"/>
    <w:rsid w:val="00005C92"/>
    <w:rsid w:val="0000624F"/>
    <w:rsid w:val="00011776"/>
    <w:rsid w:val="00013EA6"/>
    <w:rsid w:val="00014032"/>
    <w:rsid w:val="00015370"/>
    <w:rsid w:val="00017AAC"/>
    <w:rsid w:val="0002008C"/>
    <w:rsid w:val="00020092"/>
    <w:rsid w:val="00021858"/>
    <w:rsid w:val="000227BA"/>
    <w:rsid w:val="00023DCC"/>
    <w:rsid w:val="00027FD5"/>
    <w:rsid w:val="000329AF"/>
    <w:rsid w:val="00032E7A"/>
    <w:rsid w:val="00034484"/>
    <w:rsid w:val="00034E09"/>
    <w:rsid w:val="00035378"/>
    <w:rsid w:val="00035792"/>
    <w:rsid w:val="000359D0"/>
    <w:rsid w:val="00036686"/>
    <w:rsid w:val="00036854"/>
    <w:rsid w:val="0003705E"/>
    <w:rsid w:val="00037185"/>
    <w:rsid w:val="00041029"/>
    <w:rsid w:val="00042917"/>
    <w:rsid w:val="00042B71"/>
    <w:rsid w:val="00042EDD"/>
    <w:rsid w:val="00044733"/>
    <w:rsid w:val="00044E8E"/>
    <w:rsid w:val="00046D48"/>
    <w:rsid w:val="0005080D"/>
    <w:rsid w:val="00051826"/>
    <w:rsid w:val="000529A2"/>
    <w:rsid w:val="0005323A"/>
    <w:rsid w:val="000539A1"/>
    <w:rsid w:val="00054378"/>
    <w:rsid w:val="000553E2"/>
    <w:rsid w:val="000564FE"/>
    <w:rsid w:val="000565F7"/>
    <w:rsid w:val="00061DB8"/>
    <w:rsid w:val="00063096"/>
    <w:rsid w:val="00063ACB"/>
    <w:rsid w:val="00065740"/>
    <w:rsid w:val="0006712E"/>
    <w:rsid w:val="0006735A"/>
    <w:rsid w:val="0006791D"/>
    <w:rsid w:val="00067F9A"/>
    <w:rsid w:val="00070044"/>
    <w:rsid w:val="0007036D"/>
    <w:rsid w:val="00073A7F"/>
    <w:rsid w:val="00073DA7"/>
    <w:rsid w:val="00074E49"/>
    <w:rsid w:val="00075B66"/>
    <w:rsid w:val="00076772"/>
    <w:rsid w:val="00081D24"/>
    <w:rsid w:val="0008244C"/>
    <w:rsid w:val="00083643"/>
    <w:rsid w:val="00083739"/>
    <w:rsid w:val="00084740"/>
    <w:rsid w:val="00085E6B"/>
    <w:rsid w:val="0008602A"/>
    <w:rsid w:val="0008608F"/>
    <w:rsid w:val="000863C7"/>
    <w:rsid w:val="00086ABA"/>
    <w:rsid w:val="00087ECC"/>
    <w:rsid w:val="00090158"/>
    <w:rsid w:val="00090399"/>
    <w:rsid w:val="00091AD3"/>
    <w:rsid w:val="000921F0"/>
    <w:rsid w:val="000945DF"/>
    <w:rsid w:val="00094732"/>
    <w:rsid w:val="000948A2"/>
    <w:rsid w:val="00096CCE"/>
    <w:rsid w:val="000976F2"/>
    <w:rsid w:val="000A0464"/>
    <w:rsid w:val="000A0600"/>
    <w:rsid w:val="000A0F71"/>
    <w:rsid w:val="000A5121"/>
    <w:rsid w:val="000A6772"/>
    <w:rsid w:val="000A6930"/>
    <w:rsid w:val="000A7127"/>
    <w:rsid w:val="000A7455"/>
    <w:rsid w:val="000B2050"/>
    <w:rsid w:val="000B2D95"/>
    <w:rsid w:val="000B32DA"/>
    <w:rsid w:val="000B3A9D"/>
    <w:rsid w:val="000B4D41"/>
    <w:rsid w:val="000B500F"/>
    <w:rsid w:val="000B5227"/>
    <w:rsid w:val="000B7C3C"/>
    <w:rsid w:val="000B7D2B"/>
    <w:rsid w:val="000C05B5"/>
    <w:rsid w:val="000C0C4F"/>
    <w:rsid w:val="000C246F"/>
    <w:rsid w:val="000C3C5F"/>
    <w:rsid w:val="000C4EEC"/>
    <w:rsid w:val="000C5CF0"/>
    <w:rsid w:val="000C6478"/>
    <w:rsid w:val="000C6BC8"/>
    <w:rsid w:val="000C6EA6"/>
    <w:rsid w:val="000C7D85"/>
    <w:rsid w:val="000D180B"/>
    <w:rsid w:val="000D19CA"/>
    <w:rsid w:val="000D1F1A"/>
    <w:rsid w:val="000D29AE"/>
    <w:rsid w:val="000D3EF9"/>
    <w:rsid w:val="000D4882"/>
    <w:rsid w:val="000D4F46"/>
    <w:rsid w:val="000D5743"/>
    <w:rsid w:val="000D5E5C"/>
    <w:rsid w:val="000D5E6D"/>
    <w:rsid w:val="000E0D71"/>
    <w:rsid w:val="000E15BF"/>
    <w:rsid w:val="000E309C"/>
    <w:rsid w:val="000E4715"/>
    <w:rsid w:val="000E55FC"/>
    <w:rsid w:val="000E6856"/>
    <w:rsid w:val="000E7348"/>
    <w:rsid w:val="000E7BD0"/>
    <w:rsid w:val="000E7FF5"/>
    <w:rsid w:val="000F0037"/>
    <w:rsid w:val="000F0202"/>
    <w:rsid w:val="000F05A4"/>
    <w:rsid w:val="000F1F03"/>
    <w:rsid w:val="000F2BE3"/>
    <w:rsid w:val="000F5FAB"/>
    <w:rsid w:val="000F6329"/>
    <w:rsid w:val="001002CF"/>
    <w:rsid w:val="00100FE1"/>
    <w:rsid w:val="001013CA"/>
    <w:rsid w:val="00104F1E"/>
    <w:rsid w:val="00104FAB"/>
    <w:rsid w:val="00106AAC"/>
    <w:rsid w:val="00106BA3"/>
    <w:rsid w:val="00106C1E"/>
    <w:rsid w:val="001074C2"/>
    <w:rsid w:val="001108F5"/>
    <w:rsid w:val="00110C22"/>
    <w:rsid w:val="001117B9"/>
    <w:rsid w:val="001127D3"/>
    <w:rsid w:val="00112E5E"/>
    <w:rsid w:val="00113692"/>
    <w:rsid w:val="0011391D"/>
    <w:rsid w:val="00113A96"/>
    <w:rsid w:val="00115F7A"/>
    <w:rsid w:val="00120241"/>
    <w:rsid w:val="00122246"/>
    <w:rsid w:val="001223FE"/>
    <w:rsid w:val="00122739"/>
    <w:rsid w:val="00122D6C"/>
    <w:rsid w:val="00122E89"/>
    <w:rsid w:val="00123474"/>
    <w:rsid w:val="001252A9"/>
    <w:rsid w:val="00125ED3"/>
    <w:rsid w:val="001263D9"/>
    <w:rsid w:val="0012650B"/>
    <w:rsid w:val="001265A9"/>
    <w:rsid w:val="00126F37"/>
    <w:rsid w:val="00130353"/>
    <w:rsid w:val="00130F4E"/>
    <w:rsid w:val="00131E25"/>
    <w:rsid w:val="001365BD"/>
    <w:rsid w:val="00136616"/>
    <w:rsid w:val="001370A3"/>
    <w:rsid w:val="00137F6F"/>
    <w:rsid w:val="001401D2"/>
    <w:rsid w:val="001402E1"/>
    <w:rsid w:val="00140C46"/>
    <w:rsid w:val="001433EB"/>
    <w:rsid w:val="00144D0A"/>
    <w:rsid w:val="001452BD"/>
    <w:rsid w:val="001472CB"/>
    <w:rsid w:val="00147F44"/>
    <w:rsid w:val="00150270"/>
    <w:rsid w:val="0015037A"/>
    <w:rsid w:val="001503B4"/>
    <w:rsid w:val="00150411"/>
    <w:rsid w:val="001508DC"/>
    <w:rsid w:val="00151FD9"/>
    <w:rsid w:val="00154534"/>
    <w:rsid w:val="0015498A"/>
    <w:rsid w:val="00154B66"/>
    <w:rsid w:val="001567F3"/>
    <w:rsid w:val="00160398"/>
    <w:rsid w:val="00160BE7"/>
    <w:rsid w:val="0016187F"/>
    <w:rsid w:val="00161D25"/>
    <w:rsid w:val="00164949"/>
    <w:rsid w:val="00167B3E"/>
    <w:rsid w:val="00171E26"/>
    <w:rsid w:val="001724B4"/>
    <w:rsid w:val="001777E2"/>
    <w:rsid w:val="001804F1"/>
    <w:rsid w:val="00180B9A"/>
    <w:rsid w:val="00182651"/>
    <w:rsid w:val="00185ABA"/>
    <w:rsid w:val="00186145"/>
    <w:rsid w:val="001869ED"/>
    <w:rsid w:val="001900CF"/>
    <w:rsid w:val="00191332"/>
    <w:rsid w:val="001915FA"/>
    <w:rsid w:val="00191E3C"/>
    <w:rsid w:val="00192A09"/>
    <w:rsid w:val="0019371F"/>
    <w:rsid w:val="0019478C"/>
    <w:rsid w:val="00194811"/>
    <w:rsid w:val="00194B6F"/>
    <w:rsid w:val="00194CD2"/>
    <w:rsid w:val="00196EA5"/>
    <w:rsid w:val="001A0607"/>
    <w:rsid w:val="001A10E3"/>
    <w:rsid w:val="001A14D9"/>
    <w:rsid w:val="001A3C5D"/>
    <w:rsid w:val="001A6A25"/>
    <w:rsid w:val="001B0ED2"/>
    <w:rsid w:val="001B1728"/>
    <w:rsid w:val="001B22F5"/>
    <w:rsid w:val="001B2C86"/>
    <w:rsid w:val="001B6028"/>
    <w:rsid w:val="001C0BB7"/>
    <w:rsid w:val="001C0BE8"/>
    <w:rsid w:val="001C166E"/>
    <w:rsid w:val="001C3D15"/>
    <w:rsid w:val="001C401D"/>
    <w:rsid w:val="001C4375"/>
    <w:rsid w:val="001C4B53"/>
    <w:rsid w:val="001C4BD4"/>
    <w:rsid w:val="001C4F29"/>
    <w:rsid w:val="001C4F86"/>
    <w:rsid w:val="001C61CC"/>
    <w:rsid w:val="001C6268"/>
    <w:rsid w:val="001C763B"/>
    <w:rsid w:val="001D0C28"/>
    <w:rsid w:val="001D0C74"/>
    <w:rsid w:val="001D2A96"/>
    <w:rsid w:val="001D2D67"/>
    <w:rsid w:val="001D5995"/>
    <w:rsid w:val="001D59AF"/>
    <w:rsid w:val="001D5A05"/>
    <w:rsid w:val="001D5F9C"/>
    <w:rsid w:val="001D5FFD"/>
    <w:rsid w:val="001D6143"/>
    <w:rsid w:val="001D62C6"/>
    <w:rsid w:val="001D67CA"/>
    <w:rsid w:val="001E0E84"/>
    <w:rsid w:val="001E1377"/>
    <w:rsid w:val="001E200C"/>
    <w:rsid w:val="001E3CD7"/>
    <w:rsid w:val="001E4880"/>
    <w:rsid w:val="001E5CC9"/>
    <w:rsid w:val="001F2F20"/>
    <w:rsid w:val="001F435A"/>
    <w:rsid w:val="001F451C"/>
    <w:rsid w:val="001F46DB"/>
    <w:rsid w:val="001F488B"/>
    <w:rsid w:val="001F4CAF"/>
    <w:rsid w:val="001F5839"/>
    <w:rsid w:val="001F715E"/>
    <w:rsid w:val="0020081B"/>
    <w:rsid w:val="00201146"/>
    <w:rsid w:val="00202A2D"/>
    <w:rsid w:val="00202B74"/>
    <w:rsid w:val="002034D9"/>
    <w:rsid w:val="00204ED5"/>
    <w:rsid w:val="00205D3C"/>
    <w:rsid w:val="002061DA"/>
    <w:rsid w:val="00207091"/>
    <w:rsid w:val="0021048D"/>
    <w:rsid w:val="00212DB7"/>
    <w:rsid w:val="002131DA"/>
    <w:rsid w:val="00213301"/>
    <w:rsid w:val="00213C6B"/>
    <w:rsid w:val="002143F8"/>
    <w:rsid w:val="002158F0"/>
    <w:rsid w:val="00222AEC"/>
    <w:rsid w:val="002232BA"/>
    <w:rsid w:val="002249FA"/>
    <w:rsid w:val="002268F6"/>
    <w:rsid w:val="00227052"/>
    <w:rsid w:val="00227F95"/>
    <w:rsid w:val="002310FE"/>
    <w:rsid w:val="0023335E"/>
    <w:rsid w:val="0024093A"/>
    <w:rsid w:val="00240B6A"/>
    <w:rsid w:val="00240C30"/>
    <w:rsid w:val="00241FDC"/>
    <w:rsid w:val="002423A8"/>
    <w:rsid w:val="00244E72"/>
    <w:rsid w:val="002459BF"/>
    <w:rsid w:val="00245E29"/>
    <w:rsid w:val="002462E1"/>
    <w:rsid w:val="002468F3"/>
    <w:rsid w:val="00251310"/>
    <w:rsid w:val="00251F71"/>
    <w:rsid w:val="002533B7"/>
    <w:rsid w:val="00254F38"/>
    <w:rsid w:val="0025677C"/>
    <w:rsid w:val="002608B8"/>
    <w:rsid w:val="00260FA5"/>
    <w:rsid w:val="00263095"/>
    <w:rsid w:val="002631F6"/>
    <w:rsid w:val="00263C00"/>
    <w:rsid w:val="00263DAF"/>
    <w:rsid w:val="00264CA2"/>
    <w:rsid w:val="00265204"/>
    <w:rsid w:val="002652B7"/>
    <w:rsid w:val="00266B07"/>
    <w:rsid w:val="00266ECF"/>
    <w:rsid w:val="00270E79"/>
    <w:rsid w:val="00271AC5"/>
    <w:rsid w:val="00271DAC"/>
    <w:rsid w:val="002721F9"/>
    <w:rsid w:val="00272269"/>
    <w:rsid w:val="00272B07"/>
    <w:rsid w:val="00273EC8"/>
    <w:rsid w:val="00275153"/>
    <w:rsid w:val="00276621"/>
    <w:rsid w:val="00276CF2"/>
    <w:rsid w:val="002779FC"/>
    <w:rsid w:val="00281356"/>
    <w:rsid w:val="002824D0"/>
    <w:rsid w:val="0028345D"/>
    <w:rsid w:val="002836B9"/>
    <w:rsid w:val="00283780"/>
    <w:rsid w:val="0028395D"/>
    <w:rsid w:val="00285025"/>
    <w:rsid w:val="002856F0"/>
    <w:rsid w:val="002861E2"/>
    <w:rsid w:val="0028676F"/>
    <w:rsid w:val="00286EB6"/>
    <w:rsid w:val="00287401"/>
    <w:rsid w:val="00287E2B"/>
    <w:rsid w:val="0029193D"/>
    <w:rsid w:val="00293801"/>
    <w:rsid w:val="00294B76"/>
    <w:rsid w:val="00295F32"/>
    <w:rsid w:val="00295F54"/>
    <w:rsid w:val="002960EB"/>
    <w:rsid w:val="002963EF"/>
    <w:rsid w:val="00296B11"/>
    <w:rsid w:val="002A03AE"/>
    <w:rsid w:val="002A15BC"/>
    <w:rsid w:val="002A1680"/>
    <w:rsid w:val="002A2B03"/>
    <w:rsid w:val="002A2C2D"/>
    <w:rsid w:val="002A2F60"/>
    <w:rsid w:val="002A37B6"/>
    <w:rsid w:val="002A4926"/>
    <w:rsid w:val="002A5F8B"/>
    <w:rsid w:val="002A6BE7"/>
    <w:rsid w:val="002A6CD9"/>
    <w:rsid w:val="002A743F"/>
    <w:rsid w:val="002B0BCC"/>
    <w:rsid w:val="002B1925"/>
    <w:rsid w:val="002B21B4"/>
    <w:rsid w:val="002B356B"/>
    <w:rsid w:val="002B44CA"/>
    <w:rsid w:val="002B4BFE"/>
    <w:rsid w:val="002B4DD4"/>
    <w:rsid w:val="002B5522"/>
    <w:rsid w:val="002B6CBB"/>
    <w:rsid w:val="002C0331"/>
    <w:rsid w:val="002C05A4"/>
    <w:rsid w:val="002C09E4"/>
    <w:rsid w:val="002C0CF4"/>
    <w:rsid w:val="002C12C0"/>
    <w:rsid w:val="002C1699"/>
    <w:rsid w:val="002C1C60"/>
    <w:rsid w:val="002C2186"/>
    <w:rsid w:val="002C435F"/>
    <w:rsid w:val="002C61E5"/>
    <w:rsid w:val="002C7B32"/>
    <w:rsid w:val="002D1D81"/>
    <w:rsid w:val="002D2124"/>
    <w:rsid w:val="002D22FD"/>
    <w:rsid w:val="002D2785"/>
    <w:rsid w:val="002D3105"/>
    <w:rsid w:val="002D4B57"/>
    <w:rsid w:val="002D53DA"/>
    <w:rsid w:val="002D572D"/>
    <w:rsid w:val="002D5A77"/>
    <w:rsid w:val="002D6BF5"/>
    <w:rsid w:val="002D7055"/>
    <w:rsid w:val="002D73C4"/>
    <w:rsid w:val="002D7DAF"/>
    <w:rsid w:val="002E0ADC"/>
    <w:rsid w:val="002E0DB1"/>
    <w:rsid w:val="002E18D7"/>
    <w:rsid w:val="002E21AF"/>
    <w:rsid w:val="002E23FD"/>
    <w:rsid w:val="002E42FC"/>
    <w:rsid w:val="002E46E5"/>
    <w:rsid w:val="002E486B"/>
    <w:rsid w:val="002F04C6"/>
    <w:rsid w:val="002F17DE"/>
    <w:rsid w:val="002F4045"/>
    <w:rsid w:val="002F72F5"/>
    <w:rsid w:val="00301E35"/>
    <w:rsid w:val="00302231"/>
    <w:rsid w:val="003022E1"/>
    <w:rsid w:val="00303878"/>
    <w:rsid w:val="00304782"/>
    <w:rsid w:val="003048A9"/>
    <w:rsid w:val="003050C2"/>
    <w:rsid w:val="00306DD7"/>
    <w:rsid w:val="0031097C"/>
    <w:rsid w:val="00310D3D"/>
    <w:rsid w:val="00311223"/>
    <w:rsid w:val="0031228C"/>
    <w:rsid w:val="00313719"/>
    <w:rsid w:val="00313C7C"/>
    <w:rsid w:val="003141C5"/>
    <w:rsid w:val="003161CA"/>
    <w:rsid w:val="00316DF0"/>
    <w:rsid w:val="0032052B"/>
    <w:rsid w:val="00321A8A"/>
    <w:rsid w:val="00322D60"/>
    <w:rsid w:val="00324451"/>
    <w:rsid w:val="003256A3"/>
    <w:rsid w:val="00325FF3"/>
    <w:rsid w:val="003261DB"/>
    <w:rsid w:val="00327AA1"/>
    <w:rsid w:val="0033022D"/>
    <w:rsid w:val="00330329"/>
    <w:rsid w:val="003307C9"/>
    <w:rsid w:val="00330A7C"/>
    <w:rsid w:val="003322E5"/>
    <w:rsid w:val="00332385"/>
    <w:rsid w:val="0033239F"/>
    <w:rsid w:val="00332A04"/>
    <w:rsid w:val="00332AE5"/>
    <w:rsid w:val="00332C3E"/>
    <w:rsid w:val="003343BC"/>
    <w:rsid w:val="00334715"/>
    <w:rsid w:val="00334E3E"/>
    <w:rsid w:val="00335487"/>
    <w:rsid w:val="003355C1"/>
    <w:rsid w:val="00335A96"/>
    <w:rsid w:val="00335DE8"/>
    <w:rsid w:val="0033678B"/>
    <w:rsid w:val="003376D5"/>
    <w:rsid w:val="00337A9A"/>
    <w:rsid w:val="003429C2"/>
    <w:rsid w:val="00342B0D"/>
    <w:rsid w:val="00342E36"/>
    <w:rsid w:val="00342E72"/>
    <w:rsid w:val="003433C6"/>
    <w:rsid w:val="00343449"/>
    <w:rsid w:val="00346E8E"/>
    <w:rsid w:val="0035295C"/>
    <w:rsid w:val="00353C72"/>
    <w:rsid w:val="00354608"/>
    <w:rsid w:val="00354C32"/>
    <w:rsid w:val="0035535B"/>
    <w:rsid w:val="00355841"/>
    <w:rsid w:val="003579A2"/>
    <w:rsid w:val="003600F3"/>
    <w:rsid w:val="003621F6"/>
    <w:rsid w:val="003624CE"/>
    <w:rsid w:val="00364494"/>
    <w:rsid w:val="0037016F"/>
    <w:rsid w:val="00371C1D"/>
    <w:rsid w:val="00373A3C"/>
    <w:rsid w:val="00374020"/>
    <w:rsid w:val="00374AAF"/>
    <w:rsid w:val="003750E6"/>
    <w:rsid w:val="003761A8"/>
    <w:rsid w:val="00377617"/>
    <w:rsid w:val="00377E33"/>
    <w:rsid w:val="00380EAA"/>
    <w:rsid w:val="00381A04"/>
    <w:rsid w:val="0038276D"/>
    <w:rsid w:val="00383979"/>
    <w:rsid w:val="003849F9"/>
    <w:rsid w:val="00386599"/>
    <w:rsid w:val="00386B99"/>
    <w:rsid w:val="00387A84"/>
    <w:rsid w:val="00387B02"/>
    <w:rsid w:val="00387E70"/>
    <w:rsid w:val="003920ED"/>
    <w:rsid w:val="00394A65"/>
    <w:rsid w:val="003967B9"/>
    <w:rsid w:val="003969E2"/>
    <w:rsid w:val="00396FAD"/>
    <w:rsid w:val="003974EA"/>
    <w:rsid w:val="003A0014"/>
    <w:rsid w:val="003A0353"/>
    <w:rsid w:val="003A0A4C"/>
    <w:rsid w:val="003A1F7B"/>
    <w:rsid w:val="003A3CF5"/>
    <w:rsid w:val="003A3F70"/>
    <w:rsid w:val="003A4D5C"/>
    <w:rsid w:val="003B1089"/>
    <w:rsid w:val="003B1531"/>
    <w:rsid w:val="003B1DCF"/>
    <w:rsid w:val="003B2AA6"/>
    <w:rsid w:val="003B2B74"/>
    <w:rsid w:val="003B2C16"/>
    <w:rsid w:val="003B3B36"/>
    <w:rsid w:val="003B4817"/>
    <w:rsid w:val="003B4CC2"/>
    <w:rsid w:val="003B74DE"/>
    <w:rsid w:val="003B7C48"/>
    <w:rsid w:val="003C0918"/>
    <w:rsid w:val="003C112C"/>
    <w:rsid w:val="003C1D6C"/>
    <w:rsid w:val="003C214C"/>
    <w:rsid w:val="003C2D33"/>
    <w:rsid w:val="003C3310"/>
    <w:rsid w:val="003C354C"/>
    <w:rsid w:val="003C35B5"/>
    <w:rsid w:val="003C5C00"/>
    <w:rsid w:val="003C5D47"/>
    <w:rsid w:val="003C60FB"/>
    <w:rsid w:val="003C6B36"/>
    <w:rsid w:val="003D1E90"/>
    <w:rsid w:val="003D2098"/>
    <w:rsid w:val="003D22B0"/>
    <w:rsid w:val="003D2CC6"/>
    <w:rsid w:val="003D4C51"/>
    <w:rsid w:val="003D611D"/>
    <w:rsid w:val="003D6CC7"/>
    <w:rsid w:val="003E068B"/>
    <w:rsid w:val="003E2017"/>
    <w:rsid w:val="003E25EE"/>
    <w:rsid w:val="003E300D"/>
    <w:rsid w:val="003E4872"/>
    <w:rsid w:val="003E542D"/>
    <w:rsid w:val="003E5943"/>
    <w:rsid w:val="003E6B8B"/>
    <w:rsid w:val="003E6F4D"/>
    <w:rsid w:val="003E7AA1"/>
    <w:rsid w:val="003E7BCF"/>
    <w:rsid w:val="003F1BD0"/>
    <w:rsid w:val="003F1ECF"/>
    <w:rsid w:val="003F30B6"/>
    <w:rsid w:val="003F3C20"/>
    <w:rsid w:val="003F40B2"/>
    <w:rsid w:val="003F43FB"/>
    <w:rsid w:val="003F466B"/>
    <w:rsid w:val="003F50CF"/>
    <w:rsid w:val="003F6630"/>
    <w:rsid w:val="003F773D"/>
    <w:rsid w:val="00400659"/>
    <w:rsid w:val="00400B72"/>
    <w:rsid w:val="00401B65"/>
    <w:rsid w:val="0040355A"/>
    <w:rsid w:val="00403878"/>
    <w:rsid w:val="00403946"/>
    <w:rsid w:val="00403D8E"/>
    <w:rsid w:val="00404288"/>
    <w:rsid w:val="00405E53"/>
    <w:rsid w:val="00406AB6"/>
    <w:rsid w:val="00410DBD"/>
    <w:rsid w:val="004119A8"/>
    <w:rsid w:val="00411B91"/>
    <w:rsid w:val="00412986"/>
    <w:rsid w:val="00412D39"/>
    <w:rsid w:val="004158C4"/>
    <w:rsid w:val="00415CDB"/>
    <w:rsid w:val="00417065"/>
    <w:rsid w:val="00420DF1"/>
    <w:rsid w:val="00425901"/>
    <w:rsid w:val="00426A67"/>
    <w:rsid w:val="00427445"/>
    <w:rsid w:val="00427946"/>
    <w:rsid w:val="00431B24"/>
    <w:rsid w:val="00431EC4"/>
    <w:rsid w:val="004330F0"/>
    <w:rsid w:val="00433D1F"/>
    <w:rsid w:val="004351C5"/>
    <w:rsid w:val="00437034"/>
    <w:rsid w:val="0043769F"/>
    <w:rsid w:val="00437C03"/>
    <w:rsid w:val="004418D3"/>
    <w:rsid w:val="0044320A"/>
    <w:rsid w:val="0044321E"/>
    <w:rsid w:val="00443419"/>
    <w:rsid w:val="00445EEA"/>
    <w:rsid w:val="004476C0"/>
    <w:rsid w:val="00450FE2"/>
    <w:rsid w:val="0045102A"/>
    <w:rsid w:val="004529BF"/>
    <w:rsid w:val="0045475D"/>
    <w:rsid w:val="00454A25"/>
    <w:rsid w:val="00454A34"/>
    <w:rsid w:val="00455D38"/>
    <w:rsid w:val="00455F1F"/>
    <w:rsid w:val="004579CB"/>
    <w:rsid w:val="00460690"/>
    <w:rsid w:val="00460E82"/>
    <w:rsid w:val="004643A4"/>
    <w:rsid w:val="00465DA4"/>
    <w:rsid w:val="00467883"/>
    <w:rsid w:val="00470874"/>
    <w:rsid w:val="00470BDA"/>
    <w:rsid w:val="00470CAA"/>
    <w:rsid w:val="00470E5A"/>
    <w:rsid w:val="004712B5"/>
    <w:rsid w:val="004714BF"/>
    <w:rsid w:val="00471649"/>
    <w:rsid w:val="00472B64"/>
    <w:rsid w:val="00472BE4"/>
    <w:rsid w:val="0047497C"/>
    <w:rsid w:val="00475395"/>
    <w:rsid w:val="00477E3F"/>
    <w:rsid w:val="00481C2C"/>
    <w:rsid w:val="00484754"/>
    <w:rsid w:val="00486435"/>
    <w:rsid w:val="00492B44"/>
    <w:rsid w:val="0049320E"/>
    <w:rsid w:val="00494949"/>
    <w:rsid w:val="004949FA"/>
    <w:rsid w:val="0049593E"/>
    <w:rsid w:val="00495B9E"/>
    <w:rsid w:val="004964AE"/>
    <w:rsid w:val="00497B79"/>
    <w:rsid w:val="004A385A"/>
    <w:rsid w:val="004A43C8"/>
    <w:rsid w:val="004A6931"/>
    <w:rsid w:val="004A6D9D"/>
    <w:rsid w:val="004A7A7C"/>
    <w:rsid w:val="004A7D67"/>
    <w:rsid w:val="004B13ED"/>
    <w:rsid w:val="004B18E8"/>
    <w:rsid w:val="004B389F"/>
    <w:rsid w:val="004B39B9"/>
    <w:rsid w:val="004B3B16"/>
    <w:rsid w:val="004B409D"/>
    <w:rsid w:val="004B53DB"/>
    <w:rsid w:val="004C0ED6"/>
    <w:rsid w:val="004C28A5"/>
    <w:rsid w:val="004C399B"/>
    <w:rsid w:val="004C3BF3"/>
    <w:rsid w:val="004C46D8"/>
    <w:rsid w:val="004C5DB8"/>
    <w:rsid w:val="004C6BB8"/>
    <w:rsid w:val="004C7F32"/>
    <w:rsid w:val="004D026B"/>
    <w:rsid w:val="004D13BA"/>
    <w:rsid w:val="004D16D0"/>
    <w:rsid w:val="004D361F"/>
    <w:rsid w:val="004D3C19"/>
    <w:rsid w:val="004D4C17"/>
    <w:rsid w:val="004D5E5A"/>
    <w:rsid w:val="004D5FE9"/>
    <w:rsid w:val="004D6845"/>
    <w:rsid w:val="004D782F"/>
    <w:rsid w:val="004D7E6B"/>
    <w:rsid w:val="004E13CC"/>
    <w:rsid w:val="004E188D"/>
    <w:rsid w:val="004E1B86"/>
    <w:rsid w:val="004E28EA"/>
    <w:rsid w:val="004E29DF"/>
    <w:rsid w:val="004E32DA"/>
    <w:rsid w:val="004E3E0F"/>
    <w:rsid w:val="004E4863"/>
    <w:rsid w:val="004E5831"/>
    <w:rsid w:val="004E67FE"/>
    <w:rsid w:val="004F1B96"/>
    <w:rsid w:val="004F3BD8"/>
    <w:rsid w:val="004F3EA1"/>
    <w:rsid w:val="004F499D"/>
    <w:rsid w:val="004F4CD3"/>
    <w:rsid w:val="004F5EB3"/>
    <w:rsid w:val="005011CB"/>
    <w:rsid w:val="005012D8"/>
    <w:rsid w:val="00502648"/>
    <w:rsid w:val="00502DBE"/>
    <w:rsid w:val="005034B0"/>
    <w:rsid w:val="00505F71"/>
    <w:rsid w:val="00505FC2"/>
    <w:rsid w:val="00506360"/>
    <w:rsid w:val="0050673A"/>
    <w:rsid w:val="00506C05"/>
    <w:rsid w:val="00506CF9"/>
    <w:rsid w:val="00507247"/>
    <w:rsid w:val="005125E2"/>
    <w:rsid w:val="00512F70"/>
    <w:rsid w:val="00514E6B"/>
    <w:rsid w:val="00515C85"/>
    <w:rsid w:val="00517F94"/>
    <w:rsid w:val="00520986"/>
    <w:rsid w:val="0052182D"/>
    <w:rsid w:val="00521BFD"/>
    <w:rsid w:val="005228B8"/>
    <w:rsid w:val="0052371E"/>
    <w:rsid w:val="00523A56"/>
    <w:rsid w:val="00524236"/>
    <w:rsid w:val="00524631"/>
    <w:rsid w:val="005251C8"/>
    <w:rsid w:val="00525EFE"/>
    <w:rsid w:val="00527AC7"/>
    <w:rsid w:val="00530CE3"/>
    <w:rsid w:val="00534DF6"/>
    <w:rsid w:val="00535140"/>
    <w:rsid w:val="0053710C"/>
    <w:rsid w:val="0053765C"/>
    <w:rsid w:val="00542072"/>
    <w:rsid w:val="00542541"/>
    <w:rsid w:val="00542A45"/>
    <w:rsid w:val="0054571F"/>
    <w:rsid w:val="00547297"/>
    <w:rsid w:val="00550974"/>
    <w:rsid w:val="00550BD9"/>
    <w:rsid w:val="00552491"/>
    <w:rsid w:val="00553405"/>
    <w:rsid w:val="0055375A"/>
    <w:rsid w:val="00553E6F"/>
    <w:rsid w:val="00554039"/>
    <w:rsid w:val="00555861"/>
    <w:rsid w:val="00556823"/>
    <w:rsid w:val="00561765"/>
    <w:rsid w:val="00562E23"/>
    <w:rsid w:val="005639DA"/>
    <w:rsid w:val="0056476C"/>
    <w:rsid w:val="00566027"/>
    <w:rsid w:val="0057079F"/>
    <w:rsid w:val="00570E55"/>
    <w:rsid w:val="00571B44"/>
    <w:rsid w:val="00573179"/>
    <w:rsid w:val="00574245"/>
    <w:rsid w:val="005746DA"/>
    <w:rsid w:val="00574F1A"/>
    <w:rsid w:val="0057524E"/>
    <w:rsid w:val="00577862"/>
    <w:rsid w:val="0058089A"/>
    <w:rsid w:val="00580D9F"/>
    <w:rsid w:val="005833E6"/>
    <w:rsid w:val="005852CA"/>
    <w:rsid w:val="00586D40"/>
    <w:rsid w:val="00587169"/>
    <w:rsid w:val="00587591"/>
    <w:rsid w:val="00587E5E"/>
    <w:rsid w:val="00590E8D"/>
    <w:rsid w:val="00591802"/>
    <w:rsid w:val="00592523"/>
    <w:rsid w:val="00592F8F"/>
    <w:rsid w:val="00593DB2"/>
    <w:rsid w:val="00594827"/>
    <w:rsid w:val="00595189"/>
    <w:rsid w:val="00595D87"/>
    <w:rsid w:val="00595E0B"/>
    <w:rsid w:val="00596607"/>
    <w:rsid w:val="00596FA0"/>
    <w:rsid w:val="005A0274"/>
    <w:rsid w:val="005A0C14"/>
    <w:rsid w:val="005A2316"/>
    <w:rsid w:val="005A2BC1"/>
    <w:rsid w:val="005A2CB7"/>
    <w:rsid w:val="005A371C"/>
    <w:rsid w:val="005A3E7C"/>
    <w:rsid w:val="005B1330"/>
    <w:rsid w:val="005B19DA"/>
    <w:rsid w:val="005B4960"/>
    <w:rsid w:val="005B51A5"/>
    <w:rsid w:val="005C040D"/>
    <w:rsid w:val="005C09A9"/>
    <w:rsid w:val="005C12DA"/>
    <w:rsid w:val="005C22B4"/>
    <w:rsid w:val="005C2CF6"/>
    <w:rsid w:val="005C605B"/>
    <w:rsid w:val="005C7C08"/>
    <w:rsid w:val="005D0011"/>
    <w:rsid w:val="005D04E0"/>
    <w:rsid w:val="005D16A3"/>
    <w:rsid w:val="005D1882"/>
    <w:rsid w:val="005D2814"/>
    <w:rsid w:val="005D2AD3"/>
    <w:rsid w:val="005D39FF"/>
    <w:rsid w:val="005D43FF"/>
    <w:rsid w:val="005D4626"/>
    <w:rsid w:val="005D47A5"/>
    <w:rsid w:val="005D4E73"/>
    <w:rsid w:val="005D5B08"/>
    <w:rsid w:val="005E0C22"/>
    <w:rsid w:val="005E15C9"/>
    <w:rsid w:val="005E170F"/>
    <w:rsid w:val="005E445D"/>
    <w:rsid w:val="005E5F88"/>
    <w:rsid w:val="005E693F"/>
    <w:rsid w:val="005E7828"/>
    <w:rsid w:val="005F0C17"/>
    <w:rsid w:val="005F1D11"/>
    <w:rsid w:val="005F1D3A"/>
    <w:rsid w:val="005F342A"/>
    <w:rsid w:val="005F366C"/>
    <w:rsid w:val="005F4127"/>
    <w:rsid w:val="005F42E9"/>
    <w:rsid w:val="005F4649"/>
    <w:rsid w:val="005F4EC1"/>
    <w:rsid w:val="005F55F5"/>
    <w:rsid w:val="005F7416"/>
    <w:rsid w:val="005F7DC3"/>
    <w:rsid w:val="00600299"/>
    <w:rsid w:val="006034A5"/>
    <w:rsid w:val="0060389F"/>
    <w:rsid w:val="00603EE2"/>
    <w:rsid w:val="006050E0"/>
    <w:rsid w:val="006051DD"/>
    <w:rsid w:val="00606AB8"/>
    <w:rsid w:val="00607944"/>
    <w:rsid w:val="00610EC8"/>
    <w:rsid w:val="006142AD"/>
    <w:rsid w:val="00615E8C"/>
    <w:rsid w:val="0061627A"/>
    <w:rsid w:val="006177BC"/>
    <w:rsid w:val="00620028"/>
    <w:rsid w:val="0062164D"/>
    <w:rsid w:val="00622063"/>
    <w:rsid w:val="00623008"/>
    <w:rsid w:val="006232C9"/>
    <w:rsid w:val="00623791"/>
    <w:rsid w:val="006245C8"/>
    <w:rsid w:val="00630B5F"/>
    <w:rsid w:val="006347AA"/>
    <w:rsid w:val="00640410"/>
    <w:rsid w:val="00641D97"/>
    <w:rsid w:val="00642C22"/>
    <w:rsid w:val="00644B0F"/>
    <w:rsid w:val="00650259"/>
    <w:rsid w:val="006502DC"/>
    <w:rsid w:val="00651D40"/>
    <w:rsid w:val="00652AF0"/>
    <w:rsid w:val="00652F55"/>
    <w:rsid w:val="00653477"/>
    <w:rsid w:val="00653EF3"/>
    <w:rsid w:val="00654804"/>
    <w:rsid w:val="00654A3C"/>
    <w:rsid w:val="006559D7"/>
    <w:rsid w:val="00655D5A"/>
    <w:rsid w:val="006567EC"/>
    <w:rsid w:val="006600D6"/>
    <w:rsid w:val="006628FE"/>
    <w:rsid w:val="00662FE5"/>
    <w:rsid w:val="00663384"/>
    <w:rsid w:val="00663A15"/>
    <w:rsid w:val="0066425E"/>
    <w:rsid w:val="00664C9E"/>
    <w:rsid w:val="00665D71"/>
    <w:rsid w:val="006666FC"/>
    <w:rsid w:val="006673B8"/>
    <w:rsid w:val="00667BD3"/>
    <w:rsid w:val="0067023B"/>
    <w:rsid w:val="00671019"/>
    <w:rsid w:val="006716BE"/>
    <w:rsid w:val="006717E9"/>
    <w:rsid w:val="0067210F"/>
    <w:rsid w:val="00672489"/>
    <w:rsid w:val="00672ED8"/>
    <w:rsid w:val="0067550C"/>
    <w:rsid w:val="00675ED8"/>
    <w:rsid w:val="0067610C"/>
    <w:rsid w:val="00676711"/>
    <w:rsid w:val="00676A00"/>
    <w:rsid w:val="00676B0E"/>
    <w:rsid w:val="00676E2B"/>
    <w:rsid w:val="00677145"/>
    <w:rsid w:val="00677770"/>
    <w:rsid w:val="0067784A"/>
    <w:rsid w:val="00677B02"/>
    <w:rsid w:val="00680185"/>
    <w:rsid w:val="00680A66"/>
    <w:rsid w:val="00681A32"/>
    <w:rsid w:val="0068451C"/>
    <w:rsid w:val="00684630"/>
    <w:rsid w:val="006849DA"/>
    <w:rsid w:val="00685276"/>
    <w:rsid w:val="006859E5"/>
    <w:rsid w:val="00686366"/>
    <w:rsid w:val="006865FB"/>
    <w:rsid w:val="00687F04"/>
    <w:rsid w:val="00690D84"/>
    <w:rsid w:val="0069187A"/>
    <w:rsid w:val="00692710"/>
    <w:rsid w:val="00697555"/>
    <w:rsid w:val="006A08E6"/>
    <w:rsid w:val="006A1479"/>
    <w:rsid w:val="006A23BB"/>
    <w:rsid w:val="006A3EFE"/>
    <w:rsid w:val="006A4309"/>
    <w:rsid w:val="006A4DC2"/>
    <w:rsid w:val="006A6D0F"/>
    <w:rsid w:val="006A6E6F"/>
    <w:rsid w:val="006B301D"/>
    <w:rsid w:val="006B49A4"/>
    <w:rsid w:val="006B507E"/>
    <w:rsid w:val="006B5300"/>
    <w:rsid w:val="006B5A24"/>
    <w:rsid w:val="006B6B25"/>
    <w:rsid w:val="006B7E5D"/>
    <w:rsid w:val="006C0848"/>
    <w:rsid w:val="006C15B9"/>
    <w:rsid w:val="006C1F6A"/>
    <w:rsid w:val="006C2CF4"/>
    <w:rsid w:val="006C38CC"/>
    <w:rsid w:val="006C41F1"/>
    <w:rsid w:val="006C4357"/>
    <w:rsid w:val="006C4463"/>
    <w:rsid w:val="006C5023"/>
    <w:rsid w:val="006D087B"/>
    <w:rsid w:val="006D2980"/>
    <w:rsid w:val="006D45B5"/>
    <w:rsid w:val="006D49B2"/>
    <w:rsid w:val="006D6793"/>
    <w:rsid w:val="006D695A"/>
    <w:rsid w:val="006D6A29"/>
    <w:rsid w:val="006D702F"/>
    <w:rsid w:val="006D7B1B"/>
    <w:rsid w:val="006E007D"/>
    <w:rsid w:val="006E1DE1"/>
    <w:rsid w:val="006E1ED8"/>
    <w:rsid w:val="006E2DEF"/>
    <w:rsid w:val="006E2FD1"/>
    <w:rsid w:val="006E33BF"/>
    <w:rsid w:val="006E34E4"/>
    <w:rsid w:val="006E3714"/>
    <w:rsid w:val="006E4D5A"/>
    <w:rsid w:val="006E6CB0"/>
    <w:rsid w:val="006E779A"/>
    <w:rsid w:val="006F22FF"/>
    <w:rsid w:val="006F2D36"/>
    <w:rsid w:val="006F3827"/>
    <w:rsid w:val="006F38EF"/>
    <w:rsid w:val="006F3B2D"/>
    <w:rsid w:val="006F5981"/>
    <w:rsid w:val="006F6D4A"/>
    <w:rsid w:val="006F7672"/>
    <w:rsid w:val="007014D2"/>
    <w:rsid w:val="00701501"/>
    <w:rsid w:val="007021E1"/>
    <w:rsid w:val="00702915"/>
    <w:rsid w:val="0070322F"/>
    <w:rsid w:val="00704534"/>
    <w:rsid w:val="0070545E"/>
    <w:rsid w:val="00706B18"/>
    <w:rsid w:val="00707FFB"/>
    <w:rsid w:val="00710394"/>
    <w:rsid w:val="00710F52"/>
    <w:rsid w:val="007112CD"/>
    <w:rsid w:val="0071283D"/>
    <w:rsid w:val="007136C9"/>
    <w:rsid w:val="007141F4"/>
    <w:rsid w:val="00714B18"/>
    <w:rsid w:val="00715C77"/>
    <w:rsid w:val="00716C61"/>
    <w:rsid w:val="00721576"/>
    <w:rsid w:val="007222F0"/>
    <w:rsid w:val="007226EF"/>
    <w:rsid w:val="00723288"/>
    <w:rsid w:val="007239D3"/>
    <w:rsid w:val="00725671"/>
    <w:rsid w:val="0072768F"/>
    <w:rsid w:val="00730A4A"/>
    <w:rsid w:val="00730E33"/>
    <w:rsid w:val="007311C2"/>
    <w:rsid w:val="007314FD"/>
    <w:rsid w:val="00732509"/>
    <w:rsid w:val="007345D8"/>
    <w:rsid w:val="00737269"/>
    <w:rsid w:val="007426C0"/>
    <w:rsid w:val="007442AD"/>
    <w:rsid w:val="007459FE"/>
    <w:rsid w:val="00747EA4"/>
    <w:rsid w:val="00750636"/>
    <w:rsid w:val="00752009"/>
    <w:rsid w:val="0075550C"/>
    <w:rsid w:val="00756501"/>
    <w:rsid w:val="0075680A"/>
    <w:rsid w:val="0075720E"/>
    <w:rsid w:val="007603F7"/>
    <w:rsid w:val="00762C7D"/>
    <w:rsid w:val="007634BF"/>
    <w:rsid w:val="00763C7E"/>
    <w:rsid w:val="00763FDD"/>
    <w:rsid w:val="0076580E"/>
    <w:rsid w:val="007672BA"/>
    <w:rsid w:val="00767DAC"/>
    <w:rsid w:val="007702A3"/>
    <w:rsid w:val="0077079B"/>
    <w:rsid w:val="0077328C"/>
    <w:rsid w:val="007737D2"/>
    <w:rsid w:val="00773DA7"/>
    <w:rsid w:val="0077434C"/>
    <w:rsid w:val="00774527"/>
    <w:rsid w:val="00777194"/>
    <w:rsid w:val="0077796F"/>
    <w:rsid w:val="00780660"/>
    <w:rsid w:val="00781C05"/>
    <w:rsid w:val="00784877"/>
    <w:rsid w:val="0078582E"/>
    <w:rsid w:val="00785DD9"/>
    <w:rsid w:val="007906D2"/>
    <w:rsid w:val="007933F0"/>
    <w:rsid w:val="007947E6"/>
    <w:rsid w:val="007A0509"/>
    <w:rsid w:val="007A1CF8"/>
    <w:rsid w:val="007A1F8F"/>
    <w:rsid w:val="007A1FD7"/>
    <w:rsid w:val="007A2454"/>
    <w:rsid w:val="007A286F"/>
    <w:rsid w:val="007A3B6E"/>
    <w:rsid w:val="007A4D77"/>
    <w:rsid w:val="007A5762"/>
    <w:rsid w:val="007A626F"/>
    <w:rsid w:val="007A73F1"/>
    <w:rsid w:val="007B03F4"/>
    <w:rsid w:val="007B24E1"/>
    <w:rsid w:val="007B3FC0"/>
    <w:rsid w:val="007B4365"/>
    <w:rsid w:val="007B485E"/>
    <w:rsid w:val="007B498D"/>
    <w:rsid w:val="007B56EF"/>
    <w:rsid w:val="007B6153"/>
    <w:rsid w:val="007B669D"/>
    <w:rsid w:val="007C0A42"/>
    <w:rsid w:val="007C1133"/>
    <w:rsid w:val="007C1A0B"/>
    <w:rsid w:val="007C21BE"/>
    <w:rsid w:val="007C2307"/>
    <w:rsid w:val="007C2853"/>
    <w:rsid w:val="007C2B82"/>
    <w:rsid w:val="007C2FEB"/>
    <w:rsid w:val="007C3001"/>
    <w:rsid w:val="007C31D5"/>
    <w:rsid w:val="007C3C11"/>
    <w:rsid w:val="007C4CA4"/>
    <w:rsid w:val="007C4D31"/>
    <w:rsid w:val="007C679C"/>
    <w:rsid w:val="007C79FC"/>
    <w:rsid w:val="007C7B85"/>
    <w:rsid w:val="007D1B4D"/>
    <w:rsid w:val="007D1FD8"/>
    <w:rsid w:val="007D1FE3"/>
    <w:rsid w:val="007D2D6C"/>
    <w:rsid w:val="007D3909"/>
    <w:rsid w:val="007D4110"/>
    <w:rsid w:val="007D420F"/>
    <w:rsid w:val="007D563E"/>
    <w:rsid w:val="007D6F45"/>
    <w:rsid w:val="007D79E2"/>
    <w:rsid w:val="007E0145"/>
    <w:rsid w:val="007E0469"/>
    <w:rsid w:val="007E1851"/>
    <w:rsid w:val="007E24D7"/>
    <w:rsid w:val="007E2525"/>
    <w:rsid w:val="007E30E5"/>
    <w:rsid w:val="007E5B5A"/>
    <w:rsid w:val="007F01C0"/>
    <w:rsid w:val="007F1148"/>
    <w:rsid w:val="007F136D"/>
    <w:rsid w:val="007F1AEC"/>
    <w:rsid w:val="007F232B"/>
    <w:rsid w:val="007F305C"/>
    <w:rsid w:val="007F33ED"/>
    <w:rsid w:val="007F4584"/>
    <w:rsid w:val="007F4CBF"/>
    <w:rsid w:val="007F57AD"/>
    <w:rsid w:val="007F6570"/>
    <w:rsid w:val="00800C55"/>
    <w:rsid w:val="008030BE"/>
    <w:rsid w:val="008036D3"/>
    <w:rsid w:val="0080477A"/>
    <w:rsid w:val="008065BC"/>
    <w:rsid w:val="00807418"/>
    <w:rsid w:val="0080786B"/>
    <w:rsid w:val="00810310"/>
    <w:rsid w:val="00812ABB"/>
    <w:rsid w:val="00812AC4"/>
    <w:rsid w:val="00812BBB"/>
    <w:rsid w:val="0081373F"/>
    <w:rsid w:val="0081460C"/>
    <w:rsid w:val="00815C3F"/>
    <w:rsid w:val="0081634D"/>
    <w:rsid w:val="00817D5E"/>
    <w:rsid w:val="00823018"/>
    <w:rsid w:val="00823C94"/>
    <w:rsid w:val="00825F4E"/>
    <w:rsid w:val="0082661F"/>
    <w:rsid w:val="008268D8"/>
    <w:rsid w:val="008307E4"/>
    <w:rsid w:val="00831802"/>
    <w:rsid w:val="008330F9"/>
    <w:rsid w:val="00833134"/>
    <w:rsid w:val="00834410"/>
    <w:rsid w:val="0083671E"/>
    <w:rsid w:val="008367E1"/>
    <w:rsid w:val="00837084"/>
    <w:rsid w:val="00841486"/>
    <w:rsid w:val="00842EEF"/>
    <w:rsid w:val="00842FFD"/>
    <w:rsid w:val="00844E22"/>
    <w:rsid w:val="0085219B"/>
    <w:rsid w:val="0085616B"/>
    <w:rsid w:val="00856378"/>
    <w:rsid w:val="008563A3"/>
    <w:rsid w:val="0086072B"/>
    <w:rsid w:val="00861FD6"/>
    <w:rsid w:val="008639F0"/>
    <w:rsid w:val="0087170D"/>
    <w:rsid w:val="008727AF"/>
    <w:rsid w:val="00872F4D"/>
    <w:rsid w:val="008733B8"/>
    <w:rsid w:val="008747B6"/>
    <w:rsid w:val="00874DB8"/>
    <w:rsid w:val="008751EA"/>
    <w:rsid w:val="00875E60"/>
    <w:rsid w:val="00876C54"/>
    <w:rsid w:val="00880F1E"/>
    <w:rsid w:val="008825AD"/>
    <w:rsid w:val="0088508B"/>
    <w:rsid w:val="00890856"/>
    <w:rsid w:val="00890C10"/>
    <w:rsid w:val="00894DD9"/>
    <w:rsid w:val="0089533B"/>
    <w:rsid w:val="008953ED"/>
    <w:rsid w:val="0089574F"/>
    <w:rsid w:val="008958B1"/>
    <w:rsid w:val="00896D8E"/>
    <w:rsid w:val="008A07B9"/>
    <w:rsid w:val="008A1520"/>
    <w:rsid w:val="008A21C4"/>
    <w:rsid w:val="008A24B2"/>
    <w:rsid w:val="008A2C93"/>
    <w:rsid w:val="008A3DA3"/>
    <w:rsid w:val="008A446C"/>
    <w:rsid w:val="008A4D48"/>
    <w:rsid w:val="008A4F1E"/>
    <w:rsid w:val="008A7171"/>
    <w:rsid w:val="008B05CA"/>
    <w:rsid w:val="008B53AC"/>
    <w:rsid w:val="008B60D0"/>
    <w:rsid w:val="008B61DF"/>
    <w:rsid w:val="008B70F5"/>
    <w:rsid w:val="008B78B2"/>
    <w:rsid w:val="008C0076"/>
    <w:rsid w:val="008C03A4"/>
    <w:rsid w:val="008C0A55"/>
    <w:rsid w:val="008C1F80"/>
    <w:rsid w:val="008C41EA"/>
    <w:rsid w:val="008C4F57"/>
    <w:rsid w:val="008D118D"/>
    <w:rsid w:val="008D451A"/>
    <w:rsid w:val="008E1D44"/>
    <w:rsid w:val="008E2123"/>
    <w:rsid w:val="008E21C3"/>
    <w:rsid w:val="008E6277"/>
    <w:rsid w:val="008E6C42"/>
    <w:rsid w:val="008F2701"/>
    <w:rsid w:val="008F6A6E"/>
    <w:rsid w:val="008F7AD0"/>
    <w:rsid w:val="00900510"/>
    <w:rsid w:val="00901172"/>
    <w:rsid w:val="009017EC"/>
    <w:rsid w:val="009039A7"/>
    <w:rsid w:val="00904AE5"/>
    <w:rsid w:val="009055AB"/>
    <w:rsid w:val="009071B4"/>
    <w:rsid w:val="00907B24"/>
    <w:rsid w:val="00907C39"/>
    <w:rsid w:val="00910C15"/>
    <w:rsid w:val="0091466A"/>
    <w:rsid w:val="00914829"/>
    <w:rsid w:val="009159C9"/>
    <w:rsid w:val="00916602"/>
    <w:rsid w:val="00916E13"/>
    <w:rsid w:val="0091770D"/>
    <w:rsid w:val="0092063C"/>
    <w:rsid w:val="00920B3C"/>
    <w:rsid w:val="009214CB"/>
    <w:rsid w:val="009218DE"/>
    <w:rsid w:val="00921DB8"/>
    <w:rsid w:val="0092265A"/>
    <w:rsid w:val="009246ED"/>
    <w:rsid w:val="00924D3C"/>
    <w:rsid w:val="0092552D"/>
    <w:rsid w:val="0092638E"/>
    <w:rsid w:val="009274C8"/>
    <w:rsid w:val="00927724"/>
    <w:rsid w:val="00930D50"/>
    <w:rsid w:val="009313DC"/>
    <w:rsid w:val="00931E03"/>
    <w:rsid w:val="009338DD"/>
    <w:rsid w:val="00933C9C"/>
    <w:rsid w:val="00933F9A"/>
    <w:rsid w:val="00937265"/>
    <w:rsid w:val="009417B4"/>
    <w:rsid w:val="00943818"/>
    <w:rsid w:val="009446CF"/>
    <w:rsid w:val="00944B2A"/>
    <w:rsid w:val="009457BC"/>
    <w:rsid w:val="00945966"/>
    <w:rsid w:val="0095076D"/>
    <w:rsid w:val="00950B4B"/>
    <w:rsid w:val="00952B57"/>
    <w:rsid w:val="00952EA8"/>
    <w:rsid w:val="00954282"/>
    <w:rsid w:val="00957557"/>
    <w:rsid w:val="009575BB"/>
    <w:rsid w:val="0096045F"/>
    <w:rsid w:val="00960C5B"/>
    <w:rsid w:val="00961C57"/>
    <w:rsid w:val="00961C58"/>
    <w:rsid w:val="00961CB7"/>
    <w:rsid w:val="00962B40"/>
    <w:rsid w:val="00965399"/>
    <w:rsid w:val="00966056"/>
    <w:rsid w:val="0097031C"/>
    <w:rsid w:val="009704EE"/>
    <w:rsid w:val="00970971"/>
    <w:rsid w:val="009709AB"/>
    <w:rsid w:val="00970A69"/>
    <w:rsid w:val="00971BEA"/>
    <w:rsid w:val="00973F63"/>
    <w:rsid w:val="00974F52"/>
    <w:rsid w:val="009753D8"/>
    <w:rsid w:val="009757EE"/>
    <w:rsid w:val="009779E3"/>
    <w:rsid w:val="009812C4"/>
    <w:rsid w:val="009819F0"/>
    <w:rsid w:val="00983C7A"/>
    <w:rsid w:val="00984BCC"/>
    <w:rsid w:val="00985808"/>
    <w:rsid w:val="0098675D"/>
    <w:rsid w:val="00986AD9"/>
    <w:rsid w:val="00987474"/>
    <w:rsid w:val="00990384"/>
    <w:rsid w:val="00990A00"/>
    <w:rsid w:val="00990E1E"/>
    <w:rsid w:val="009910C7"/>
    <w:rsid w:val="00991510"/>
    <w:rsid w:val="00991E5C"/>
    <w:rsid w:val="009A0AE5"/>
    <w:rsid w:val="009A12CF"/>
    <w:rsid w:val="009A1F86"/>
    <w:rsid w:val="009A2678"/>
    <w:rsid w:val="009A3483"/>
    <w:rsid w:val="009A5263"/>
    <w:rsid w:val="009A5A27"/>
    <w:rsid w:val="009A79D5"/>
    <w:rsid w:val="009B20D3"/>
    <w:rsid w:val="009B3320"/>
    <w:rsid w:val="009B5C05"/>
    <w:rsid w:val="009B6E60"/>
    <w:rsid w:val="009B717C"/>
    <w:rsid w:val="009B7903"/>
    <w:rsid w:val="009B7FE6"/>
    <w:rsid w:val="009C0562"/>
    <w:rsid w:val="009C15EE"/>
    <w:rsid w:val="009C3314"/>
    <w:rsid w:val="009C3D14"/>
    <w:rsid w:val="009C413F"/>
    <w:rsid w:val="009C4B69"/>
    <w:rsid w:val="009C7615"/>
    <w:rsid w:val="009D02A1"/>
    <w:rsid w:val="009D02A5"/>
    <w:rsid w:val="009D10DD"/>
    <w:rsid w:val="009D12BF"/>
    <w:rsid w:val="009D149B"/>
    <w:rsid w:val="009D1C05"/>
    <w:rsid w:val="009D2482"/>
    <w:rsid w:val="009D37AD"/>
    <w:rsid w:val="009D3E75"/>
    <w:rsid w:val="009D453E"/>
    <w:rsid w:val="009D51AD"/>
    <w:rsid w:val="009D53E7"/>
    <w:rsid w:val="009D7BC9"/>
    <w:rsid w:val="009E2172"/>
    <w:rsid w:val="009E298C"/>
    <w:rsid w:val="009E29E9"/>
    <w:rsid w:val="009E38B9"/>
    <w:rsid w:val="009E4729"/>
    <w:rsid w:val="009E5EB0"/>
    <w:rsid w:val="009E651D"/>
    <w:rsid w:val="009E795C"/>
    <w:rsid w:val="009F1D6C"/>
    <w:rsid w:val="009F1F45"/>
    <w:rsid w:val="009F258F"/>
    <w:rsid w:val="009F2A4E"/>
    <w:rsid w:val="009F2F86"/>
    <w:rsid w:val="009F301B"/>
    <w:rsid w:val="009F387B"/>
    <w:rsid w:val="009F3A9C"/>
    <w:rsid w:val="009F47F0"/>
    <w:rsid w:val="009F538C"/>
    <w:rsid w:val="009F58B8"/>
    <w:rsid w:val="009F58E1"/>
    <w:rsid w:val="009F7D54"/>
    <w:rsid w:val="00A01DBC"/>
    <w:rsid w:val="00A01F49"/>
    <w:rsid w:val="00A025C2"/>
    <w:rsid w:val="00A0313C"/>
    <w:rsid w:val="00A04494"/>
    <w:rsid w:val="00A05197"/>
    <w:rsid w:val="00A07F22"/>
    <w:rsid w:val="00A10970"/>
    <w:rsid w:val="00A1103C"/>
    <w:rsid w:val="00A1482D"/>
    <w:rsid w:val="00A166E4"/>
    <w:rsid w:val="00A16D36"/>
    <w:rsid w:val="00A213B4"/>
    <w:rsid w:val="00A2186D"/>
    <w:rsid w:val="00A2224B"/>
    <w:rsid w:val="00A243CC"/>
    <w:rsid w:val="00A2440A"/>
    <w:rsid w:val="00A2447F"/>
    <w:rsid w:val="00A2497A"/>
    <w:rsid w:val="00A26011"/>
    <w:rsid w:val="00A26404"/>
    <w:rsid w:val="00A275BD"/>
    <w:rsid w:val="00A310C9"/>
    <w:rsid w:val="00A31385"/>
    <w:rsid w:val="00A32515"/>
    <w:rsid w:val="00A3291A"/>
    <w:rsid w:val="00A340D8"/>
    <w:rsid w:val="00A347A7"/>
    <w:rsid w:val="00A34AA2"/>
    <w:rsid w:val="00A34F71"/>
    <w:rsid w:val="00A35BDA"/>
    <w:rsid w:val="00A36863"/>
    <w:rsid w:val="00A37BBE"/>
    <w:rsid w:val="00A40AFE"/>
    <w:rsid w:val="00A44A41"/>
    <w:rsid w:val="00A44AB7"/>
    <w:rsid w:val="00A45A59"/>
    <w:rsid w:val="00A46169"/>
    <w:rsid w:val="00A47464"/>
    <w:rsid w:val="00A47AD8"/>
    <w:rsid w:val="00A47DB4"/>
    <w:rsid w:val="00A52D3D"/>
    <w:rsid w:val="00A5550F"/>
    <w:rsid w:val="00A5586F"/>
    <w:rsid w:val="00A55A3C"/>
    <w:rsid w:val="00A565DF"/>
    <w:rsid w:val="00A56652"/>
    <w:rsid w:val="00A5726E"/>
    <w:rsid w:val="00A57717"/>
    <w:rsid w:val="00A61963"/>
    <w:rsid w:val="00A62F16"/>
    <w:rsid w:val="00A64212"/>
    <w:rsid w:val="00A64E62"/>
    <w:rsid w:val="00A66DB7"/>
    <w:rsid w:val="00A67281"/>
    <w:rsid w:val="00A67842"/>
    <w:rsid w:val="00A67D5A"/>
    <w:rsid w:val="00A70486"/>
    <w:rsid w:val="00A71E30"/>
    <w:rsid w:val="00A72366"/>
    <w:rsid w:val="00A73843"/>
    <w:rsid w:val="00A74DA5"/>
    <w:rsid w:val="00A754A5"/>
    <w:rsid w:val="00A76489"/>
    <w:rsid w:val="00A776C7"/>
    <w:rsid w:val="00A778B5"/>
    <w:rsid w:val="00A80801"/>
    <w:rsid w:val="00A81AFD"/>
    <w:rsid w:val="00A821C4"/>
    <w:rsid w:val="00A8533F"/>
    <w:rsid w:val="00A85659"/>
    <w:rsid w:val="00A85E10"/>
    <w:rsid w:val="00A87807"/>
    <w:rsid w:val="00A87A58"/>
    <w:rsid w:val="00A87FC2"/>
    <w:rsid w:val="00A9116C"/>
    <w:rsid w:val="00A92119"/>
    <w:rsid w:val="00A956CF"/>
    <w:rsid w:val="00A95C63"/>
    <w:rsid w:val="00A970BD"/>
    <w:rsid w:val="00AA0760"/>
    <w:rsid w:val="00AA0765"/>
    <w:rsid w:val="00AA0A7C"/>
    <w:rsid w:val="00AA2773"/>
    <w:rsid w:val="00AA292F"/>
    <w:rsid w:val="00AA2C40"/>
    <w:rsid w:val="00AA6B57"/>
    <w:rsid w:val="00AB00EA"/>
    <w:rsid w:val="00AB073F"/>
    <w:rsid w:val="00AB09DF"/>
    <w:rsid w:val="00AB1AAC"/>
    <w:rsid w:val="00AB1BEF"/>
    <w:rsid w:val="00AB2D74"/>
    <w:rsid w:val="00AB3F0A"/>
    <w:rsid w:val="00AB63AB"/>
    <w:rsid w:val="00AB71F7"/>
    <w:rsid w:val="00AB75D6"/>
    <w:rsid w:val="00AC06DE"/>
    <w:rsid w:val="00AC18CE"/>
    <w:rsid w:val="00AC458A"/>
    <w:rsid w:val="00AC5723"/>
    <w:rsid w:val="00AC6647"/>
    <w:rsid w:val="00AD16F2"/>
    <w:rsid w:val="00AD2199"/>
    <w:rsid w:val="00AD264E"/>
    <w:rsid w:val="00AD5939"/>
    <w:rsid w:val="00AD6472"/>
    <w:rsid w:val="00AE1FDE"/>
    <w:rsid w:val="00AE3379"/>
    <w:rsid w:val="00AE47D8"/>
    <w:rsid w:val="00AE4EAC"/>
    <w:rsid w:val="00AE51F8"/>
    <w:rsid w:val="00AE6B17"/>
    <w:rsid w:val="00AF1621"/>
    <w:rsid w:val="00AF62EC"/>
    <w:rsid w:val="00B00132"/>
    <w:rsid w:val="00B005D2"/>
    <w:rsid w:val="00B011C1"/>
    <w:rsid w:val="00B01305"/>
    <w:rsid w:val="00B01977"/>
    <w:rsid w:val="00B037A1"/>
    <w:rsid w:val="00B048AB"/>
    <w:rsid w:val="00B048B9"/>
    <w:rsid w:val="00B0521F"/>
    <w:rsid w:val="00B05531"/>
    <w:rsid w:val="00B11E38"/>
    <w:rsid w:val="00B126D1"/>
    <w:rsid w:val="00B12942"/>
    <w:rsid w:val="00B2181E"/>
    <w:rsid w:val="00B229DB"/>
    <w:rsid w:val="00B22B15"/>
    <w:rsid w:val="00B233DC"/>
    <w:rsid w:val="00B234D4"/>
    <w:rsid w:val="00B24164"/>
    <w:rsid w:val="00B25F05"/>
    <w:rsid w:val="00B26B93"/>
    <w:rsid w:val="00B27848"/>
    <w:rsid w:val="00B3026E"/>
    <w:rsid w:val="00B307B1"/>
    <w:rsid w:val="00B3300E"/>
    <w:rsid w:val="00B33FA1"/>
    <w:rsid w:val="00B35993"/>
    <w:rsid w:val="00B4050D"/>
    <w:rsid w:val="00B42403"/>
    <w:rsid w:val="00B42DAD"/>
    <w:rsid w:val="00B4764A"/>
    <w:rsid w:val="00B47F6E"/>
    <w:rsid w:val="00B5097E"/>
    <w:rsid w:val="00B50BF9"/>
    <w:rsid w:val="00B515DD"/>
    <w:rsid w:val="00B52321"/>
    <w:rsid w:val="00B56937"/>
    <w:rsid w:val="00B569C7"/>
    <w:rsid w:val="00B62BE4"/>
    <w:rsid w:val="00B63F53"/>
    <w:rsid w:val="00B65363"/>
    <w:rsid w:val="00B6639E"/>
    <w:rsid w:val="00B665B9"/>
    <w:rsid w:val="00B66A45"/>
    <w:rsid w:val="00B701F8"/>
    <w:rsid w:val="00B71DC2"/>
    <w:rsid w:val="00B720AF"/>
    <w:rsid w:val="00B7266A"/>
    <w:rsid w:val="00B7361A"/>
    <w:rsid w:val="00B7558F"/>
    <w:rsid w:val="00B7583E"/>
    <w:rsid w:val="00B75D8A"/>
    <w:rsid w:val="00B81B1D"/>
    <w:rsid w:val="00B81F4E"/>
    <w:rsid w:val="00B84C89"/>
    <w:rsid w:val="00B9077E"/>
    <w:rsid w:val="00B90F4C"/>
    <w:rsid w:val="00B913ED"/>
    <w:rsid w:val="00B916B8"/>
    <w:rsid w:val="00B92B18"/>
    <w:rsid w:val="00B93BB4"/>
    <w:rsid w:val="00B943F6"/>
    <w:rsid w:val="00B95E18"/>
    <w:rsid w:val="00B96E14"/>
    <w:rsid w:val="00B96FF3"/>
    <w:rsid w:val="00B975FD"/>
    <w:rsid w:val="00BA006B"/>
    <w:rsid w:val="00BA1BE5"/>
    <w:rsid w:val="00BA7E17"/>
    <w:rsid w:val="00BB1D84"/>
    <w:rsid w:val="00BB1FDC"/>
    <w:rsid w:val="00BB4B66"/>
    <w:rsid w:val="00BC0301"/>
    <w:rsid w:val="00BC0546"/>
    <w:rsid w:val="00BC16F8"/>
    <w:rsid w:val="00BC3D7B"/>
    <w:rsid w:val="00BC5E74"/>
    <w:rsid w:val="00BC7EAF"/>
    <w:rsid w:val="00BC7FBE"/>
    <w:rsid w:val="00BD0F0E"/>
    <w:rsid w:val="00BD198A"/>
    <w:rsid w:val="00BD243A"/>
    <w:rsid w:val="00BD452B"/>
    <w:rsid w:val="00BD4708"/>
    <w:rsid w:val="00BD4A5F"/>
    <w:rsid w:val="00BD4DFE"/>
    <w:rsid w:val="00BE02D4"/>
    <w:rsid w:val="00BE119E"/>
    <w:rsid w:val="00BE308E"/>
    <w:rsid w:val="00BE39ED"/>
    <w:rsid w:val="00BE3E7B"/>
    <w:rsid w:val="00BE469F"/>
    <w:rsid w:val="00BE566D"/>
    <w:rsid w:val="00BE5A22"/>
    <w:rsid w:val="00BF1137"/>
    <w:rsid w:val="00BF293E"/>
    <w:rsid w:val="00BF3445"/>
    <w:rsid w:val="00BF4B3A"/>
    <w:rsid w:val="00BF5F19"/>
    <w:rsid w:val="00BF707A"/>
    <w:rsid w:val="00BF78AF"/>
    <w:rsid w:val="00C0246F"/>
    <w:rsid w:val="00C02D58"/>
    <w:rsid w:val="00C04631"/>
    <w:rsid w:val="00C058CF"/>
    <w:rsid w:val="00C05973"/>
    <w:rsid w:val="00C06C35"/>
    <w:rsid w:val="00C06F62"/>
    <w:rsid w:val="00C0788D"/>
    <w:rsid w:val="00C07949"/>
    <w:rsid w:val="00C11045"/>
    <w:rsid w:val="00C12612"/>
    <w:rsid w:val="00C134A3"/>
    <w:rsid w:val="00C1443A"/>
    <w:rsid w:val="00C15100"/>
    <w:rsid w:val="00C15871"/>
    <w:rsid w:val="00C159C9"/>
    <w:rsid w:val="00C15A23"/>
    <w:rsid w:val="00C179A0"/>
    <w:rsid w:val="00C21A7B"/>
    <w:rsid w:val="00C22046"/>
    <w:rsid w:val="00C23916"/>
    <w:rsid w:val="00C23B40"/>
    <w:rsid w:val="00C24F00"/>
    <w:rsid w:val="00C2662E"/>
    <w:rsid w:val="00C27243"/>
    <w:rsid w:val="00C30982"/>
    <w:rsid w:val="00C323ED"/>
    <w:rsid w:val="00C329F3"/>
    <w:rsid w:val="00C33A4C"/>
    <w:rsid w:val="00C341DD"/>
    <w:rsid w:val="00C344EE"/>
    <w:rsid w:val="00C35456"/>
    <w:rsid w:val="00C35882"/>
    <w:rsid w:val="00C35FF1"/>
    <w:rsid w:val="00C36040"/>
    <w:rsid w:val="00C36389"/>
    <w:rsid w:val="00C40725"/>
    <w:rsid w:val="00C40901"/>
    <w:rsid w:val="00C419C6"/>
    <w:rsid w:val="00C42679"/>
    <w:rsid w:val="00C42ACA"/>
    <w:rsid w:val="00C44340"/>
    <w:rsid w:val="00C44402"/>
    <w:rsid w:val="00C45CCC"/>
    <w:rsid w:val="00C543EF"/>
    <w:rsid w:val="00C54583"/>
    <w:rsid w:val="00C54FD4"/>
    <w:rsid w:val="00C5690F"/>
    <w:rsid w:val="00C60EA5"/>
    <w:rsid w:val="00C614BD"/>
    <w:rsid w:val="00C62F1E"/>
    <w:rsid w:val="00C65D1E"/>
    <w:rsid w:val="00C66B7C"/>
    <w:rsid w:val="00C707B5"/>
    <w:rsid w:val="00C721A6"/>
    <w:rsid w:val="00C741A3"/>
    <w:rsid w:val="00C7606B"/>
    <w:rsid w:val="00C81C04"/>
    <w:rsid w:val="00C82072"/>
    <w:rsid w:val="00C826EF"/>
    <w:rsid w:val="00C82A57"/>
    <w:rsid w:val="00C84A5C"/>
    <w:rsid w:val="00C84C49"/>
    <w:rsid w:val="00C84DFE"/>
    <w:rsid w:val="00C85153"/>
    <w:rsid w:val="00C851A4"/>
    <w:rsid w:val="00C85846"/>
    <w:rsid w:val="00C85F4F"/>
    <w:rsid w:val="00C866D0"/>
    <w:rsid w:val="00C87AEC"/>
    <w:rsid w:val="00C87F41"/>
    <w:rsid w:val="00C92635"/>
    <w:rsid w:val="00C92A54"/>
    <w:rsid w:val="00C92FE2"/>
    <w:rsid w:val="00C933E6"/>
    <w:rsid w:val="00C94E05"/>
    <w:rsid w:val="00CA1AD7"/>
    <w:rsid w:val="00CA33A3"/>
    <w:rsid w:val="00CA4B92"/>
    <w:rsid w:val="00CA5BC5"/>
    <w:rsid w:val="00CA5C8B"/>
    <w:rsid w:val="00CA7455"/>
    <w:rsid w:val="00CB0AA3"/>
    <w:rsid w:val="00CB1BE9"/>
    <w:rsid w:val="00CB2363"/>
    <w:rsid w:val="00CB295F"/>
    <w:rsid w:val="00CB3E53"/>
    <w:rsid w:val="00CB63AD"/>
    <w:rsid w:val="00CB6E5A"/>
    <w:rsid w:val="00CB7B92"/>
    <w:rsid w:val="00CC19B8"/>
    <w:rsid w:val="00CC4737"/>
    <w:rsid w:val="00CC57B0"/>
    <w:rsid w:val="00CC60E6"/>
    <w:rsid w:val="00CD08B9"/>
    <w:rsid w:val="00CD352E"/>
    <w:rsid w:val="00CD364D"/>
    <w:rsid w:val="00CD5D96"/>
    <w:rsid w:val="00CD6550"/>
    <w:rsid w:val="00CD7C42"/>
    <w:rsid w:val="00CE0195"/>
    <w:rsid w:val="00CE24EA"/>
    <w:rsid w:val="00CE2A46"/>
    <w:rsid w:val="00CE2C48"/>
    <w:rsid w:val="00CE3AC4"/>
    <w:rsid w:val="00CE6566"/>
    <w:rsid w:val="00CE67B3"/>
    <w:rsid w:val="00CE7CFF"/>
    <w:rsid w:val="00CF02A2"/>
    <w:rsid w:val="00CF0932"/>
    <w:rsid w:val="00CF19E7"/>
    <w:rsid w:val="00CF1B9B"/>
    <w:rsid w:val="00CF2DA0"/>
    <w:rsid w:val="00CF2F06"/>
    <w:rsid w:val="00CF38AD"/>
    <w:rsid w:val="00CF40D8"/>
    <w:rsid w:val="00CF410C"/>
    <w:rsid w:val="00CF4FE1"/>
    <w:rsid w:val="00CF73ED"/>
    <w:rsid w:val="00CF786E"/>
    <w:rsid w:val="00D0100C"/>
    <w:rsid w:val="00D020B7"/>
    <w:rsid w:val="00D02C25"/>
    <w:rsid w:val="00D03076"/>
    <w:rsid w:val="00D03E8E"/>
    <w:rsid w:val="00D05497"/>
    <w:rsid w:val="00D05E04"/>
    <w:rsid w:val="00D06E14"/>
    <w:rsid w:val="00D1011B"/>
    <w:rsid w:val="00D10586"/>
    <w:rsid w:val="00D11752"/>
    <w:rsid w:val="00D119C8"/>
    <w:rsid w:val="00D14359"/>
    <w:rsid w:val="00D147BE"/>
    <w:rsid w:val="00D153CC"/>
    <w:rsid w:val="00D17D6B"/>
    <w:rsid w:val="00D215BA"/>
    <w:rsid w:val="00D21A1E"/>
    <w:rsid w:val="00D228EF"/>
    <w:rsid w:val="00D22C81"/>
    <w:rsid w:val="00D22DEB"/>
    <w:rsid w:val="00D23E6A"/>
    <w:rsid w:val="00D241D9"/>
    <w:rsid w:val="00D2456E"/>
    <w:rsid w:val="00D24C00"/>
    <w:rsid w:val="00D262A5"/>
    <w:rsid w:val="00D2693C"/>
    <w:rsid w:val="00D272F3"/>
    <w:rsid w:val="00D304C3"/>
    <w:rsid w:val="00D30E9F"/>
    <w:rsid w:val="00D31C57"/>
    <w:rsid w:val="00D32782"/>
    <w:rsid w:val="00D33CCF"/>
    <w:rsid w:val="00D34350"/>
    <w:rsid w:val="00D36382"/>
    <w:rsid w:val="00D47C97"/>
    <w:rsid w:val="00D517AD"/>
    <w:rsid w:val="00D53817"/>
    <w:rsid w:val="00D55FD3"/>
    <w:rsid w:val="00D56360"/>
    <w:rsid w:val="00D5670C"/>
    <w:rsid w:val="00D57384"/>
    <w:rsid w:val="00D60D32"/>
    <w:rsid w:val="00D60E1E"/>
    <w:rsid w:val="00D615CD"/>
    <w:rsid w:val="00D61CCB"/>
    <w:rsid w:val="00D6432B"/>
    <w:rsid w:val="00D6499E"/>
    <w:rsid w:val="00D65212"/>
    <w:rsid w:val="00D66790"/>
    <w:rsid w:val="00D67A37"/>
    <w:rsid w:val="00D71801"/>
    <w:rsid w:val="00D74A6B"/>
    <w:rsid w:val="00D77814"/>
    <w:rsid w:val="00D807C0"/>
    <w:rsid w:val="00D8176D"/>
    <w:rsid w:val="00D8535F"/>
    <w:rsid w:val="00D85DF2"/>
    <w:rsid w:val="00D86ECE"/>
    <w:rsid w:val="00D8790A"/>
    <w:rsid w:val="00D87E5D"/>
    <w:rsid w:val="00D87FBF"/>
    <w:rsid w:val="00D9020C"/>
    <w:rsid w:val="00D90443"/>
    <w:rsid w:val="00D9075C"/>
    <w:rsid w:val="00D91EFA"/>
    <w:rsid w:val="00D9330A"/>
    <w:rsid w:val="00D937EE"/>
    <w:rsid w:val="00D93C3B"/>
    <w:rsid w:val="00D94015"/>
    <w:rsid w:val="00D9674E"/>
    <w:rsid w:val="00DA1022"/>
    <w:rsid w:val="00DA17B2"/>
    <w:rsid w:val="00DA19D3"/>
    <w:rsid w:val="00DA2A9C"/>
    <w:rsid w:val="00DA2D1D"/>
    <w:rsid w:val="00DA366D"/>
    <w:rsid w:val="00DA375D"/>
    <w:rsid w:val="00DA3F46"/>
    <w:rsid w:val="00DA42C0"/>
    <w:rsid w:val="00DA5D74"/>
    <w:rsid w:val="00DA6444"/>
    <w:rsid w:val="00DA7198"/>
    <w:rsid w:val="00DB052B"/>
    <w:rsid w:val="00DB1F34"/>
    <w:rsid w:val="00DB2052"/>
    <w:rsid w:val="00DB22CB"/>
    <w:rsid w:val="00DB3F23"/>
    <w:rsid w:val="00DB409C"/>
    <w:rsid w:val="00DB566E"/>
    <w:rsid w:val="00DB6449"/>
    <w:rsid w:val="00DB68D8"/>
    <w:rsid w:val="00DB78EE"/>
    <w:rsid w:val="00DB7B8A"/>
    <w:rsid w:val="00DB7D63"/>
    <w:rsid w:val="00DC0DC7"/>
    <w:rsid w:val="00DC3179"/>
    <w:rsid w:val="00DC3262"/>
    <w:rsid w:val="00DC52F9"/>
    <w:rsid w:val="00DC6222"/>
    <w:rsid w:val="00DC6295"/>
    <w:rsid w:val="00DC679F"/>
    <w:rsid w:val="00DC7340"/>
    <w:rsid w:val="00DC7A7F"/>
    <w:rsid w:val="00DC7D93"/>
    <w:rsid w:val="00DD11E0"/>
    <w:rsid w:val="00DD2F11"/>
    <w:rsid w:val="00DD450B"/>
    <w:rsid w:val="00DE0805"/>
    <w:rsid w:val="00DE0A34"/>
    <w:rsid w:val="00DE2C6D"/>
    <w:rsid w:val="00DE41EE"/>
    <w:rsid w:val="00DE55AC"/>
    <w:rsid w:val="00DE5A0B"/>
    <w:rsid w:val="00DE5E37"/>
    <w:rsid w:val="00DE790C"/>
    <w:rsid w:val="00DF0947"/>
    <w:rsid w:val="00DF16CB"/>
    <w:rsid w:val="00DF29E6"/>
    <w:rsid w:val="00DF57E8"/>
    <w:rsid w:val="00DF7266"/>
    <w:rsid w:val="00E0066A"/>
    <w:rsid w:val="00E00DE8"/>
    <w:rsid w:val="00E00FAD"/>
    <w:rsid w:val="00E01323"/>
    <w:rsid w:val="00E0276E"/>
    <w:rsid w:val="00E02818"/>
    <w:rsid w:val="00E05B25"/>
    <w:rsid w:val="00E05F9C"/>
    <w:rsid w:val="00E06904"/>
    <w:rsid w:val="00E069D8"/>
    <w:rsid w:val="00E074B0"/>
    <w:rsid w:val="00E11962"/>
    <w:rsid w:val="00E16213"/>
    <w:rsid w:val="00E17D97"/>
    <w:rsid w:val="00E20954"/>
    <w:rsid w:val="00E21116"/>
    <w:rsid w:val="00E21348"/>
    <w:rsid w:val="00E218CB"/>
    <w:rsid w:val="00E21D60"/>
    <w:rsid w:val="00E24411"/>
    <w:rsid w:val="00E24D42"/>
    <w:rsid w:val="00E255CE"/>
    <w:rsid w:val="00E25E41"/>
    <w:rsid w:val="00E2647E"/>
    <w:rsid w:val="00E26EA5"/>
    <w:rsid w:val="00E27BCF"/>
    <w:rsid w:val="00E30168"/>
    <w:rsid w:val="00E3087B"/>
    <w:rsid w:val="00E30BCE"/>
    <w:rsid w:val="00E33676"/>
    <w:rsid w:val="00E3431A"/>
    <w:rsid w:val="00E34C19"/>
    <w:rsid w:val="00E37C65"/>
    <w:rsid w:val="00E41461"/>
    <w:rsid w:val="00E42238"/>
    <w:rsid w:val="00E427D7"/>
    <w:rsid w:val="00E436EF"/>
    <w:rsid w:val="00E438C0"/>
    <w:rsid w:val="00E45A06"/>
    <w:rsid w:val="00E45FD8"/>
    <w:rsid w:val="00E46E69"/>
    <w:rsid w:val="00E4784E"/>
    <w:rsid w:val="00E5352F"/>
    <w:rsid w:val="00E548A1"/>
    <w:rsid w:val="00E60A6F"/>
    <w:rsid w:val="00E61977"/>
    <w:rsid w:val="00E623A8"/>
    <w:rsid w:val="00E633DD"/>
    <w:rsid w:val="00E6475B"/>
    <w:rsid w:val="00E65A66"/>
    <w:rsid w:val="00E6722B"/>
    <w:rsid w:val="00E7281E"/>
    <w:rsid w:val="00E729B4"/>
    <w:rsid w:val="00E73463"/>
    <w:rsid w:val="00E74C91"/>
    <w:rsid w:val="00E75083"/>
    <w:rsid w:val="00E751B0"/>
    <w:rsid w:val="00E76B6E"/>
    <w:rsid w:val="00E776F4"/>
    <w:rsid w:val="00E8085C"/>
    <w:rsid w:val="00E8086F"/>
    <w:rsid w:val="00E823BD"/>
    <w:rsid w:val="00E83788"/>
    <w:rsid w:val="00E83DFA"/>
    <w:rsid w:val="00E865C6"/>
    <w:rsid w:val="00E86779"/>
    <w:rsid w:val="00E874EF"/>
    <w:rsid w:val="00E911CC"/>
    <w:rsid w:val="00E91322"/>
    <w:rsid w:val="00E917A3"/>
    <w:rsid w:val="00E9180F"/>
    <w:rsid w:val="00E9284E"/>
    <w:rsid w:val="00E92B37"/>
    <w:rsid w:val="00E93CC0"/>
    <w:rsid w:val="00E93DC0"/>
    <w:rsid w:val="00E95F02"/>
    <w:rsid w:val="00EA394F"/>
    <w:rsid w:val="00EA48EE"/>
    <w:rsid w:val="00EA54CF"/>
    <w:rsid w:val="00EA5700"/>
    <w:rsid w:val="00EA5A0A"/>
    <w:rsid w:val="00EA79F0"/>
    <w:rsid w:val="00EB15DC"/>
    <w:rsid w:val="00EB4F04"/>
    <w:rsid w:val="00EB56FF"/>
    <w:rsid w:val="00EB5E51"/>
    <w:rsid w:val="00EB6CCB"/>
    <w:rsid w:val="00EB6D46"/>
    <w:rsid w:val="00EB7024"/>
    <w:rsid w:val="00EC074D"/>
    <w:rsid w:val="00EC08F4"/>
    <w:rsid w:val="00EC1E22"/>
    <w:rsid w:val="00EC24B6"/>
    <w:rsid w:val="00EC2D50"/>
    <w:rsid w:val="00EC3E5F"/>
    <w:rsid w:val="00EC5425"/>
    <w:rsid w:val="00EC780D"/>
    <w:rsid w:val="00EC7F33"/>
    <w:rsid w:val="00EC7F63"/>
    <w:rsid w:val="00ED37C2"/>
    <w:rsid w:val="00ED3F5C"/>
    <w:rsid w:val="00ED3FC6"/>
    <w:rsid w:val="00ED436B"/>
    <w:rsid w:val="00ED7C44"/>
    <w:rsid w:val="00EE20E4"/>
    <w:rsid w:val="00EE2714"/>
    <w:rsid w:val="00EE2A80"/>
    <w:rsid w:val="00EE3BE8"/>
    <w:rsid w:val="00EE5052"/>
    <w:rsid w:val="00EE5419"/>
    <w:rsid w:val="00EE5518"/>
    <w:rsid w:val="00EE75C3"/>
    <w:rsid w:val="00EE7EF7"/>
    <w:rsid w:val="00EF0FA5"/>
    <w:rsid w:val="00EF56BE"/>
    <w:rsid w:val="00EF68D1"/>
    <w:rsid w:val="00EF7530"/>
    <w:rsid w:val="00F010DF"/>
    <w:rsid w:val="00F023F9"/>
    <w:rsid w:val="00F03329"/>
    <w:rsid w:val="00F03374"/>
    <w:rsid w:val="00F0339B"/>
    <w:rsid w:val="00F03A30"/>
    <w:rsid w:val="00F043DA"/>
    <w:rsid w:val="00F04B29"/>
    <w:rsid w:val="00F0700B"/>
    <w:rsid w:val="00F072A3"/>
    <w:rsid w:val="00F100FD"/>
    <w:rsid w:val="00F10210"/>
    <w:rsid w:val="00F108DB"/>
    <w:rsid w:val="00F10A98"/>
    <w:rsid w:val="00F118A3"/>
    <w:rsid w:val="00F11A22"/>
    <w:rsid w:val="00F14B71"/>
    <w:rsid w:val="00F154D3"/>
    <w:rsid w:val="00F15590"/>
    <w:rsid w:val="00F158AD"/>
    <w:rsid w:val="00F159AF"/>
    <w:rsid w:val="00F22E32"/>
    <w:rsid w:val="00F22F3B"/>
    <w:rsid w:val="00F23E2C"/>
    <w:rsid w:val="00F24CC6"/>
    <w:rsid w:val="00F24F2F"/>
    <w:rsid w:val="00F25FB8"/>
    <w:rsid w:val="00F26BCF"/>
    <w:rsid w:val="00F26EC3"/>
    <w:rsid w:val="00F279FE"/>
    <w:rsid w:val="00F30FF2"/>
    <w:rsid w:val="00F316A9"/>
    <w:rsid w:val="00F320A3"/>
    <w:rsid w:val="00F32612"/>
    <w:rsid w:val="00F3308E"/>
    <w:rsid w:val="00F33B6E"/>
    <w:rsid w:val="00F340EE"/>
    <w:rsid w:val="00F343C4"/>
    <w:rsid w:val="00F35320"/>
    <w:rsid w:val="00F3706A"/>
    <w:rsid w:val="00F37118"/>
    <w:rsid w:val="00F37DEC"/>
    <w:rsid w:val="00F40622"/>
    <w:rsid w:val="00F41AEA"/>
    <w:rsid w:val="00F42174"/>
    <w:rsid w:val="00F4235C"/>
    <w:rsid w:val="00F4281E"/>
    <w:rsid w:val="00F43BD0"/>
    <w:rsid w:val="00F43E31"/>
    <w:rsid w:val="00F45211"/>
    <w:rsid w:val="00F45BFD"/>
    <w:rsid w:val="00F45C19"/>
    <w:rsid w:val="00F467D5"/>
    <w:rsid w:val="00F47644"/>
    <w:rsid w:val="00F47FE7"/>
    <w:rsid w:val="00F50C22"/>
    <w:rsid w:val="00F510E5"/>
    <w:rsid w:val="00F51DA5"/>
    <w:rsid w:val="00F52349"/>
    <w:rsid w:val="00F5254B"/>
    <w:rsid w:val="00F54642"/>
    <w:rsid w:val="00F55793"/>
    <w:rsid w:val="00F55C6A"/>
    <w:rsid w:val="00F55E11"/>
    <w:rsid w:val="00F55EA5"/>
    <w:rsid w:val="00F5703A"/>
    <w:rsid w:val="00F60318"/>
    <w:rsid w:val="00F628B9"/>
    <w:rsid w:val="00F632C0"/>
    <w:rsid w:val="00F6454B"/>
    <w:rsid w:val="00F64AA8"/>
    <w:rsid w:val="00F64E25"/>
    <w:rsid w:val="00F65694"/>
    <w:rsid w:val="00F663F1"/>
    <w:rsid w:val="00F66692"/>
    <w:rsid w:val="00F67576"/>
    <w:rsid w:val="00F7038F"/>
    <w:rsid w:val="00F7263D"/>
    <w:rsid w:val="00F7349C"/>
    <w:rsid w:val="00F75FAF"/>
    <w:rsid w:val="00F80745"/>
    <w:rsid w:val="00F8086A"/>
    <w:rsid w:val="00F82D23"/>
    <w:rsid w:val="00F8337A"/>
    <w:rsid w:val="00F83ECA"/>
    <w:rsid w:val="00F83F19"/>
    <w:rsid w:val="00F849D9"/>
    <w:rsid w:val="00F84CBC"/>
    <w:rsid w:val="00F84EA6"/>
    <w:rsid w:val="00F84ED1"/>
    <w:rsid w:val="00F86DC2"/>
    <w:rsid w:val="00F87A58"/>
    <w:rsid w:val="00F87AFC"/>
    <w:rsid w:val="00F87F1B"/>
    <w:rsid w:val="00F90066"/>
    <w:rsid w:val="00F91B7D"/>
    <w:rsid w:val="00F92CA3"/>
    <w:rsid w:val="00F9350E"/>
    <w:rsid w:val="00F9469D"/>
    <w:rsid w:val="00F94FED"/>
    <w:rsid w:val="00F95191"/>
    <w:rsid w:val="00F96D31"/>
    <w:rsid w:val="00FA07F8"/>
    <w:rsid w:val="00FA2472"/>
    <w:rsid w:val="00FA259B"/>
    <w:rsid w:val="00FA2D4E"/>
    <w:rsid w:val="00FA2E26"/>
    <w:rsid w:val="00FA39DF"/>
    <w:rsid w:val="00FA4088"/>
    <w:rsid w:val="00FA44AE"/>
    <w:rsid w:val="00FA504E"/>
    <w:rsid w:val="00FA76E5"/>
    <w:rsid w:val="00FB2DFC"/>
    <w:rsid w:val="00FB48D4"/>
    <w:rsid w:val="00FC556E"/>
    <w:rsid w:val="00FC56F9"/>
    <w:rsid w:val="00FC720A"/>
    <w:rsid w:val="00FD2DDA"/>
    <w:rsid w:val="00FD2F44"/>
    <w:rsid w:val="00FD3A73"/>
    <w:rsid w:val="00FD5FE7"/>
    <w:rsid w:val="00FD6A47"/>
    <w:rsid w:val="00FE0949"/>
    <w:rsid w:val="00FE308D"/>
    <w:rsid w:val="00FE5CAC"/>
    <w:rsid w:val="00FE5CE6"/>
    <w:rsid w:val="00FE6F3B"/>
    <w:rsid w:val="00FE6F52"/>
    <w:rsid w:val="00FF2727"/>
    <w:rsid w:val="00FF3519"/>
    <w:rsid w:val="00FF35DD"/>
    <w:rsid w:val="00FF3EB9"/>
    <w:rsid w:val="00FF5255"/>
    <w:rsid w:val="00FF5735"/>
    <w:rsid w:val="00FF5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309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titul">
    <w:name w:val="Subtitle"/>
    <w:basedOn w:val="Normln"/>
    <w:next w:val="Normln"/>
    <w:link w:val="PodtitulChar"/>
    <w:autoRedefine/>
    <w:qFormat/>
    <w:rsid w:val="0075550C"/>
    <w:pPr>
      <w:numPr>
        <w:ilvl w:val="1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eastAsiaTheme="majorEastAsia" w:cstheme="majorBidi"/>
      <w:i/>
      <w:iCs/>
      <w:spacing w:val="15"/>
      <w:szCs w:val="24"/>
      <w:lang w:val="en-US"/>
    </w:rPr>
  </w:style>
  <w:style w:type="character" w:customStyle="1" w:styleId="PodtitulChar">
    <w:name w:val="Podtitul Char"/>
    <w:basedOn w:val="Standardnpsmoodstavce"/>
    <w:link w:val="Podtitul"/>
    <w:rsid w:val="0075550C"/>
    <w:rPr>
      <w:rFonts w:eastAsiaTheme="majorEastAsia" w:cstheme="majorBidi"/>
      <w:i/>
      <w:iCs/>
      <w:spacing w:val="15"/>
      <w:szCs w:val="24"/>
      <w:lang w:val="en-US"/>
    </w:rPr>
  </w:style>
  <w:style w:type="paragraph" w:customStyle="1" w:styleId="Podkapitola">
    <w:name w:val="Podkapitola"/>
    <w:basedOn w:val="Normln"/>
    <w:next w:val="Normln"/>
    <w:link w:val="PodkapitolaChar"/>
    <w:autoRedefine/>
    <w:qFormat/>
    <w:rsid w:val="00063096"/>
    <w:pPr>
      <w:keepNext/>
      <w:keepLines/>
      <w:spacing w:after="0"/>
      <w:ind w:left="1134" w:hanging="425"/>
      <w:outlineLvl w:val="0"/>
    </w:pPr>
    <w:rPr>
      <w:rFonts w:eastAsiaTheme="majorEastAsia" w:cs="Times New Roman"/>
      <w:b/>
      <w:bCs/>
      <w:color w:val="365F91" w:themeColor="accent1" w:themeShade="BF"/>
      <w:sz w:val="32"/>
      <w:szCs w:val="32"/>
    </w:rPr>
  </w:style>
  <w:style w:type="paragraph" w:customStyle="1" w:styleId="Bntextrga">
    <w:name w:val="Běžný text ríga"/>
    <w:basedOn w:val="Normln"/>
    <w:link w:val="BntextrgaChar"/>
    <w:qFormat/>
    <w:rsid w:val="00063096"/>
    <w:rPr>
      <w:rFonts w:ascii="Times New Roman" w:hAnsi="Times New Roman"/>
      <w:sz w:val="24"/>
    </w:rPr>
  </w:style>
  <w:style w:type="character" w:customStyle="1" w:styleId="PodkapitolaChar">
    <w:name w:val="Podkapitola Char"/>
    <w:basedOn w:val="Standardnpsmoodstavce"/>
    <w:link w:val="Podkapitola"/>
    <w:rsid w:val="00063096"/>
    <w:rPr>
      <w:rFonts w:eastAsiaTheme="majorEastAsia" w:cs="Times New Roman"/>
      <w:b/>
      <w:bCs/>
      <w:color w:val="365F91" w:themeColor="accent1" w:themeShade="BF"/>
      <w:sz w:val="32"/>
      <w:szCs w:val="32"/>
    </w:rPr>
  </w:style>
  <w:style w:type="character" w:customStyle="1" w:styleId="BntextrgaChar">
    <w:name w:val="Běžný text ríga Char"/>
    <w:basedOn w:val="Standardnpsmoodstavce"/>
    <w:link w:val="Bntextrga"/>
    <w:rsid w:val="00063096"/>
    <w:rPr>
      <w:rFonts w:ascii="Times New Roman" w:hAnsi="Times New Roman"/>
      <w:sz w:val="24"/>
    </w:rPr>
  </w:style>
  <w:style w:type="character" w:styleId="Hypertextovodkaz">
    <w:name w:val="Hyperlink"/>
    <w:basedOn w:val="Standardnpsmoodstavce"/>
    <w:uiPriority w:val="99"/>
    <w:unhideWhenUsed/>
    <w:rsid w:val="00063096"/>
    <w:rPr>
      <w:color w:val="0000FF" w:themeColor="hyperlink"/>
      <w:u w:val="single"/>
    </w:rPr>
  </w:style>
  <w:style w:type="table" w:customStyle="1" w:styleId="Mkatabulky3">
    <w:name w:val="Mřížka tabulky3"/>
    <w:basedOn w:val="Normlntabulka"/>
    <w:next w:val="Mkatabulky"/>
    <w:uiPriority w:val="59"/>
    <w:rsid w:val="0006309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59"/>
    <w:rsid w:val="00063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63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30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309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titul">
    <w:name w:val="Subtitle"/>
    <w:basedOn w:val="Normln"/>
    <w:next w:val="Normln"/>
    <w:link w:val="PodtitulChar"/>
    <w:autoRedefine/>
    <w:qFormat/>
    <w:rsid w:val="0075550C"/>
    <w:pPr>
      <w:numPr>
        <w:ilvl w:val="1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eastAsiaTheme="majorEastAsia" w:cstheme="majorBidi"/>
      <w:i/>
      <w:iCs/>
      <w:spacing w:val="15"/>
      <w:szCs w:val="24"/>
      <w:lang w:val="en-US"/>
    </w:rPr>
  </w:style>
  <w:style w:type="character" w:customStyle="1" w:styleId="PodtitulChar">
    <w:name w:val="Podtitul Char"/>
    <w:basedOn w:val="Standardnpsmoodstavce"/>
    <w:link w:val="Podtitul"/>
    <w:rsid w:val="0075550C"/>
    <w:rPr>
      <w:rFonts w:eastAsiaTheme="majorEastAsia" w:cstheme="majorBidi"/>
      <w:i/>
      <w:iCs/>
      <w:spacing w:val="15"/>
      <w:szCs w:val="24"/>
      <w:lang w:val="en-US"/>
    </w:rPr>
  </w:style>
  <w:style w:type="paragraph" w:customStyle="1" w:styleId="Podkapitola">
    <w:name w:val="Podkapitola"/>
    <w:basedOn w:val="Normln"/>
    <w:next w:val="Normln"/>
    <w:link w:val="PodkapitolaChar"/>
    <w:autoRedefine/>
    <w:qFormat/>
    <w:rsid w:val="00063096"/>
    <w:pPr>
      <w:keepNext/>
      <w:keepLines/>
      <w:spacing w:after="0"/>
      <w:ind w:left="1134" w:hanging="425"/>
      <w:outlineLvl w:val="0"/>
    </w:pPr>
    <w:rPr>
      <w:rFonts w:eastAsiaTheme="majorEastAsia" w:cs="Times New Roman"/>
      <w:b/>
      <w:bCs/>
      <w:color w:val="365F91" w:themeColor="accent1" w:themeShade="BF"/>
      <w:sz w:val="32"/>
      <w:szCs w:val="32"/>
    </w:rPr>
  </w:style>
  <w:style w:type="paragraph" w:customStyle="1" w:styleId="Bntextrga">
    <w:name w:val="Běžný text ríga"/>
    <w:basedOn w:val="Normln"/>
    <w:link w:val="BntextrgaChar"/>
    <w:qFormat/>
    <w:rsid w:val="00063096"/>
    <w:rPr>
      <w:rFonts w:ascii="Times New Roman" w:hAnsi="Times New Roman"/>
      <w:sz w:val="24"/>
    </w:rPr>
  </w:style>
  <w:style w:type="character" w:customStyle="1" w:styleId="PodkapitolaChar">
    <w:name w:val="Podkapitola Char"/>
    <w:basedOn w:val="Standardnpsmoodstavce"/>
    <w:link w:val="Podkapitola"/>
    <w:rsid w:val="00063096"/>
    <w:rPr>
      <w:rFonts w:eastAsiaTheme="majorEastAsia" w:cs="Times New Roman"/>
      <w:b/>
      <w:bCs/>
      <w:color w:val="365F91" w:themeColor="accent1" w:themeShade="BF"/>
      <w:sz w:val="32"/>
      <w:szCs w:val="32"/>
    </w:rPr>
  </w:style>
  <w:style w:type="character" w:customStyle="1" w:styleId="BntextrgaChar">
    <w:name w:val="Běžný text ríga Char"/>
    <w:basedOn w:val="Standardnpsmoodstavce"/>
    <w:link w:val="Bntextrga"/>
    <w:rsid w:val="00063096"/>
    <w:rPr>
      <w:rFonts w:ascii="Times New Roman" w:hAnsi="Times New Roman"/>
      <w:sz w:val="24"/>
    </w:rPr>
  </w:style>
  <w:style w:type="character" w:styleId="Hypertextovodkaz">
    <w:name w:val="Hyperlink"/>
    <w:basedOn w:val="Standardnpsmoodstavce"/>
    <w:uiPriority w:val="99"/>
    <w:unhideWhenUsed/>
    <w:rsid w:val="00063096"/>
    <w:rPr>
      <w:color w:val="0000FF" w:themeColor="hyperlink"/>
      <w:u w:val="single"/>
    </w:rPr>
  </w:style>
  <w:style w:type="table" w:customStyle="1" w:styleId="Mkatabulky3">
    <w:name w:val="Mřížka tabulky3"/>
    <w:basedOn w:val="Normlntabulka"/>
    <w:next w:val="Mkatabulky"/>
    <w:uiPriority w:val="59"/>
    <w:rsid w:val="0006309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59"/>
    <w:rsid w:val="00063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63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30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hyperlink" Target="http://www.sclpx.eu/lab3R.php?exp=1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PhD\excel-tabulky-k-experiment&#367;m\mereni-kapacity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en-US" sz="1200" b="0" i="1">
                <a:solidFill>
                  <a:srgbClr val="FF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X</a:t>
            </a:r>
            <a:r>
              <a:rPr lang="en-US" sz="1200" b="0" baseline="-25000">
                <a:solidFill>
                  <a:srgbClr val="FF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L</a:t>
            </a:r>
            <a:r>
              <a:rPr lang="en-US" sz="1200" b="0">
                <a:latin typeface="Times New Roman" panose="02020603050405020304" pitchFamily="18" charset="0"/>
                <a:cs typeface="Times New Roman" panose="02020603050405020304" pitchFamily="18" charset="0"/>
              </a:rPr>
              <a:t> (</a:t>
            </a:r>
            <a:r>
              <a:rPr lang="el-GR" sz="1200" b="0">
                <a:latin typeface="Times New Roman" panose="02020603050405020304" pitchFamily="18" charset="0"/>
                <a:cs typeface="Times New Roman" panose="02020603050405020304" pitchFamily="18" charset="0"/>
              </a:rPr>
              <a:t>Ω)</a:t>
            </a:r>
          </a:p>
        </c:rich>
      </c:tx>
      <c:layout>
        <c:manualLayout>
          <c:xMode val="edge"/>
          <c:yMode val="edge"/>
          <c:x val="0.64876736111111111"/>
          <c:y val="3.5277777777777776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6.8319444444444447E-2"/>
          <c:y val="0.13288950617283951"/>
          <c:w val="0.60454531249999999"/>
          <c:h val="0.74067222222222218"/>
        </c:manualLayout>
      </c:layout>
      <c:scatterChart>
        <c:scatterStyle val="lineMarker"/>
        <c:varyColors val="0"/>
        <c:ser>
          <c:idx val="1"/>
          <c:order val="1"/>
          <c:tx>
            <c:strRef>
              <c:f>'C1'!$E$1</c:f>
              <c:strCache>
                <c:ptCount val="1"/>
                <c:pt idx="0">
                  <c:v>XC1 (Ω)</c:v>
                </c:pt>
              </c:strCache>
            </c:strRef>
          </c:tx>
          <c:spPr>
            <a:ln w="28575">
              <a:noFill/>
            </a:ln>
          </c:spPr>
          <c:marker>
            <c:symbol val="diamond"/>
            <c:size val="7"/>
            <c:spPr>
              <a:solidFill>
                <a:srgbClr val="0070C0"/>
              </a:solidFill>
              <a:ln>
                <a:solidFill>
                  <a:srgbClr val="0070C0"/>
                </a:solidFill>
              </a:ln>
            </c:spPr>
          </c:marker>
          <c:trendline>
            <c:spPr>
              <a:ln w="19050">
                <a:solidFill>
                  <a:srgbClr val="0070C0"/>
                </a:solidFill>
              </a:ln>
            </c:spPr>
            <c:trendlineType val="power"/>
            <c:dispRSqr val="0"/>
            <c:dispEq val="1"/>
            <c:trendlineLbl>
              <c:layout>
                <c:manualLayout>
                  <c:x val="0.38090989583333335"/>
                  <c:y val="-0.55743364197530865"/>
                </c:manualLayout>
              </c:layout>
              <c:numFmt formatCode="General" sourceLinked="0"/>
              <c:txPr>
                <a:bodyPr/>
                <a:lstStyle/>
                <a:p>
                  <a:pPr>
                    <a:defRPr sz="1200">
                      <a:solidFill>
                        <a:srgbClr val="0070C0"/>
                      </a:solidFill>
                    </a:defRPr>
                  </a:pPr>
                  <a:endParaRPr lang="cs-CZ"/>
                </a:p>
              </c:txPr>
            </c:trendlineLbl>
          </c:trendline>
          <c:xVal>
            <c:numRef>
              <c:f>'C1'!$A$2:$A$11</c:f>
              <c:numCache>
                <c:formatCode>0</c:formatCode>
                <c:ptCount val="10"/>
                <c:pt idx="0">
                  <c:v>100</c:v>
                </c:pt>
                <c:pt idx="1">
                  <c:v>200</c:v>
                </c:pt>
                <c:pt idx="2">
                  <c:v>500</c:v>
                </c:pt>
                <c:pt idx="3">
                  <c:v>700</c:v>
                </c:pt>
                <c:pt idx="4">
                  <c:v>1000</c:v>
                </c:pt>
                <c:pt idx="5">
                  <c:v>1500</c:v>
                </c:pt>
                <c:pt idx="6">
                  <c:v>2000</c:v>
                </c:pt>
                <c:pt idx="7">
                  <c:v>2500</c:v>
                </c:pt>
                <c:pt idx="8">
                  <c:v>3000</c:v>
                </c:pt>
                <c:pt idx="9">
                  <c:v>4000</c:v>
                </c:pt>
              </c:numCache>
            </c:numRef>
          </c:xVal>
          <c:yVal>
            <c:numRef>
              <c:f>'C1'!$E$2:$E$11</c:f>
              <c:numCache>
                <c:formatCode>0</c:formatCode>
                <c:ptCount val="10"/>
                <c:pt idx="0">
                  <c:v>345.29411764705884</c:v>
                </c:pt>
                <c:pt idx="1">
                  <c:v>172.23042836041361</c:v>
                </c:pt>
                <c:pt idx="2">
                  <c:v>68.642951251646906</c:v>
                </c:pt>
                <c:pt idx="3">
                  <c:v>48.936170212765958</c:v>
                </c:pt>
                <c:pt idx="4">
                  <c:v>34.073820915926177</c:v>
                </c:pt>
                <c:pt idx="5">
                  <c:v>22.425164890918314</c:v>
                </c:pt>
                <c:pt idx="6">
                  <c:v>16.524216524216524</c:v>
                </c:pt>
                <c:pt idx="7">
                  <c:v>12.902576489533011</c:v>
                </c:pt>
                <c:pt idx="8">
                  <c:v>10.47040971168437</c:v>
                </c:pt>
                <c:pt idx="9">
                  <c:v>7.3741007194244599</c:v>
                </c:pt>
              </c:numCache>
            </c:numRef>
          </c:yVal>
          <c:smooth val="0"/>
        </c:ser>
        <c:ser>
          <c:idx val="2"/>
          <c:order val="2"/>
          <c:tx>
            <c:strRef>
              <c:f>'C2'!$E$1</c:f>
              <c:strCache>
                <c:ptCount val="1"/>
                <c:pt idx="0">
                  <c:v>XC2 (Ω)</c:v>
                </c:pt>
              </c:strCache>
            </c:strRef>
          </c:tx>
          <c:spPr>
            <a:ln w="28575">
              <a:noFill/>
            </a:ln>
          </c:spPr>
          <c:marker>
            <c:spPr>
              <a:solidFill>
                <a:srgbClr val="00B050"/>
              </a:solidFill>
              <a:ln>
                <a:solidFill>
                  <a:srgbClr val="00B050"/>
                </a:solidFill>
              </a:ln>
            </c:spPr>
          </c:marker>
          <c:trendline>
            <c:spPr>
              <a:ln w="19050">
                <a:solidFill>
                  <a:srgbClr val="00B050"/>
                </a:solidFill>
              </a:ln>
            </c:spPr>
            <c:trendlineType val="power"/>
            <c:dispRSqr val="0"/>
            <c:dispEq val="1"/>
            <c:trendlineLbl>
              <c:layout>
                <c:manualLayout>
                  <c:x val="0.38090989583333335"/>
                  <c:y val="-0.43984104938271606"/>
                </c:manualLayout>
              </c:layout>
              <c:numFmt formatCode="General" sourceLinked="0"/>
              <c:txPr>
                <a:bodyPr/>
                <a:lstStyle/>
                <a:p>
                  <a:pPr>
                    <a:defRPr sz="1200">
                      <a:solidFill>
                        <a:srgbClr val="00B050"/>
                      </a:solidFill>
                    </a:defRPr>
                  </a:pPr>
                  <a:endParaRPr lang="cs-CZ"/>
                </a:p>
              </c:txPr>
            </c:trendlineLbl>
          </c:trendline>
          <c:xVal>
            <c:numRef>
              <c:f>'C2'!$A$2:$A$11</c:f>
              <c:numCache>
                <c:formatCode>0</c:formatCode>
                <c:ptCount val="10"/>
                <c:pt idx="0">
                  <c:v>100</c:v>
                </c:pt>
                <c:pt idx="1">
                  <c:v>200</c:v>
                </c:pt>
                <c:pt idx="2">
                  <c:v>500</c:v>
                </c:pt>
                <c:pt idx="3">
                  <c:v>700</c:v>
                </c:pt>
                <c:pt idx="4">
                  <c:v>1000</c:v>
                </c:pt>
                <c:pt idx="5">
                  <c:v>1500</c:v>
                </c:pt>
                <c:pt idx="6">
                  <c:v>2000</c:v>
                </c:pt>
                <c:pt idx="7">
                  <c:v>2500</c:v>
                </c:pt>
                <c:pt idx="8">
                  <c:v>3000</c:v>
                </c:pt>
                <c:pt idx="9">
                  <c:v>4000</c:v>
                </c:pt>
              </c:numCache>
            </c:numRef>
          </c:xVal>
          <c:yVal>
            <c:numRef>
              <c:f>'C2'!$E$2:$E$11</c:f>
              <c:numCache>
                <c:formatCode>0</c:formatCode>
                <c:ptCount val="10"/>
                <c:pt idx="0">
                  <c:v>168.29971181556195</c:v>
                </c:pt>
                <c:pt idx="1">
                  <c:v>83.870967741935473</c:v>
                </c:pt>
                <c:pt idx="2">
                  <c:v>33.514141805501744</c:v>
                </c:pt>
                <c:pt idx="3">
                  <c:v>23.885034687809714</c:v>
                </c:pt>
                <c:pt idx="4">
                  <c:v>16.595744680851062</c:v>
                </c:pt>
                <c:pt idx="5">
                  <c:v>10.930009587727708</c:v>
                </c:pt>
                <c:pt idx="6">
                  <c:v>8.0276671557325514</c:v>
                </c:pt>
                <c:pt idx="7">
                  <c:v>6.22524052065648</c:v>
                </c:pt>
                <c:pt idx="8">
                  <c:v>5.0096002792808516</c:v>
                </c:pt>
                <c:pt idx="9">
                  <c:v>3.5267933573018322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00818816"/>
        <c:axId val="300821120"/>
      </c:scatterChart>
      <c:scatterChart>
        <c:scatterStyle val="lineMarker"/>
        <c:varyColors val="0"/>
        <c:ser>
          <c:idx val="0"/>
          <c:order val="0"/>
          <c:tx>
            <c:strRef>
              <c:f>'[mereni-indukcnosti.xlsx]List2'!$E$1</c:f>
              <c:strCache>
                <c:ptCount val="1"/>
                <c:pt idx="0">
                  <c:v>XL (Ω)</c:v>
                </c:pt>
              </c:strCache>
            </c:strRef>
          </c:tx>
          <c:spPr>
            <a:ln w="28575">
              <a:noFill/>
            </a:ln>
          </c:spPr>
          <c:marker>
            <c:symbol val="x"/>
            <c:size val="7"/>
            <c:spPr>
              <a:noFill/>
              <a:ln>
                <a:solidFill>
                  <a:srgbClr val="FF0000"/>
                </a:solidFill>
              </a:ln>
            </c:spPr>
          </c:marker>
          <c:trendline>
            <c:spPr>
              <a:ln w="19050">
                <a:solidFill>
                  <a:srgbClr val="FF0000"/>
                </a:solidFill>
              </a:ln>
            </c:spPr>
            <c:trendlineType val="linear"/>
            <c:dispRSqr val="0"/>
            <c:dispEq val="1"/>
            <c:trendlineLbl>
              <c:layout>
                <c:manualLayout>
                  <c:x val="0.43852309027777781"/>
                  <c:y val="-8.1032716049382711E-2"/>
                </c:manualLayout>
              </c:layout>
              <c:numFmt formatCode="General" sourceLinked="0"/>
              <c:txPr>
                <a:bodyPr/>
                <a:lstStyle/>
                <a:p>
                  <a:pPr>
                    <a:defRPr sz="1200">
                      <a:solidFill>
                        <a:srgbClr val="FF0000"/>
                      </a:solidFill>
                    </a:defRPr>
                  </a:pPr>
                  <a:endParaRPr lang="cs-CZ"/>
                </a:p>
              </c:txPr>
            </c:trendlineLbl>
          </c:trendline>
          <c:xVal>
            <c:numRef>
              <c:f>'[mereni-indukcnosti.xlsx]List2'!$A$2:$A$11</c:f>
              <c:numCache>
                <c:formatCode>General</c:formatCode>
                <c:ptCount val="10"/>
                <c:pt idx="0">
                  <c:v>100</c:v>
                </c:pt>
                <c:pt idx="1">
                  <c:v>200</c:v>
                </c:pt>
                <c:pt idx="2">
                  <c:v>500</c:v>
                </c:pt>
                <c:pt idx="3">
                  <c:v>700</c:v>
                </c:pt>
                <c:pt idx="4">
                  <c:v>1000</c:v>
                </c:pt>
                <c:pt idx="5">
                  <c:v>1500</c:v>
                </c:pt>
                <c:pt idx="6">
                  <c:v>2000</c:v>
                </c:pt>
                <c:pt idx="7">
                  <c:v>2500</c:v>
                </c:pt>
                <c:pt idx="8">
                  <c:v>3000</c:v>
                </c:pt>
                <c:pt idx="9">
                  <c:v>4000</c:v>
                </c:pt>
              </c:numCache>
            </c:numRef>
          </c:xVal>
          <c:yVal>
            <c:numRef>
              <c:f>'[mereni-indukcnosti.xlsx]List2'!$E$2:$E$11</c:f>
              <c:numCache>
                <c:formatCode>0</c:formatCode>
                <c:ptCount val="10"/>
                <c:pt idx="0">
                  <c:v>6.600923206042804</c:v>
                </c:pt>
                <c:pt idx="1">
                  <c:v>9.2059714409346611</c:v>
                </c:pt>
                <c:pt idx="2">
                  <c:v>19.794721407624632</c:v>
                </c:pt>
                <c:pt idx="3">
                  <c:v>26.809651474530831</c:v>
                </c:pt>
                <c:pt idx="4">
                  <c:v>37.441130298273151</c:v>
                </c:pt>
                <c:pt idx="5">
                  <c:v>54.963427377220476</c:v>
                </c:pt>
                <c:pt idx="6">
                  <c:v>71.938088829071333</c:v>
                </c:pt>
                <c:pt idx="7">
                  <c:v>88.964346349745341</c:v>
                </c:pt>
                <c:pt idx="8">
                  <c:v>103.86904761904762</c:v>
                </c:pt>
                <c:pt idx="9">
                  <c:v>130.40629095674967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02927232"/>
        <c:axId val="302924544"/>
      </c:scatterChart>
      <c:valAx>
        <c:axId val="30081881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200" b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cs-CZ" sz="1200" b="0" i="1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f</a:t>
                </a:r>
                <a:r>
                  <a:rPr lang="cs-CZ" sz="1200" b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(Hz)</a:t>
                </a:r>
              </a:p>
            </c:rich>
          </c:tx>
          <c:layout>
            <c:manualLayout>
              <c:xMode val="edge"/>
              <c:yMode val="edge"/>
              <c:x val="0.72819843750000002"/>
              <c:y val="0.87376419753086421"/>
            </c:manualLayout>
          </c:layout>
          <c:overlay val="0"/>
        </c:title>
        <c:numFmt formatCode="0" sourceLinked="1"/>
        <c:majorTickMark val="out"/>
        <c:minorTickMark val="none"/>
        <c:tickLblPos val="nextTo"/>
        <c:crossAx val="300821120"/>
        <c:crosses val="autoZero"/>
        <c:crossBetween val="midCat"/>
      </c:valAx>
      <c:valAx>
        <c:axId val="300821120"/>
        <c:scaling>
          <c:orientation val="minMax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>
                  <a:defRPr sz="1200" b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cs-CZ" sz="1200" b="0" i="1" baseline="0">
                    <a:solidFill>
                      <a:srgbClr val="0070C0"/>
                    </a:solidFill>
                    <a:effectLst/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X</a:t>
                </a:r>
                <a:r>
                  <a:rPr lang="cs-CZ" sz="1200" b="0" i="0" baseline="-25000">
                    <a:solidFill>
                      <a:srgbClr val="0070C0"/>
                    </a:solidFill>
                    <a:effectLst/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C1</a:t>
                </a:r>
                <a:r>
                  <a:rPr lang="cs-CZ" sz="1200" b="0" i="0" baseline="0">
                    <a:effectLst/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, </a:t>
                </a:r>
                <a:r>
                  <a:rPr lang="en-US" sz="1200" b="0" i="1" baseline="0">
                    <a:solidFill>
                      <a:srgbClr val="00B050"/>
                    </a:solidFill>
                    <a:effectLst/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X</a:t>
                </a:r>
                <a:r>
                  <a:rPr lang="en-US" sz="1200" b="0" i="0" baseline="-25000">
                    <a:solidFill>
                      <a:srgbClr val="00B050"/>
                    </a:solidFill>
                    <a:effectLst/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C2</a:t>
                </a:r>
                <a:r>
                  <a:rPr lang="en-US" sz="1200" b="0" i="0" baseline="0">
                    <a:effectLst/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(</a:t>
                </a:r>
                <a:r>
                  <a:rPr lang="el-GR" sz="1200" b="0" i="0" baseline="0">
                    <a:effectLst/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Ω)</a:t>
                </a:r>
                <a:endParaRPr lang="cs-CZ" sz="1200" b="0">
                  <a:effectLst/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layout>
            <c:manualLayout>
              <c:xMode val="edge"/>
              <c:yMode val="edge"/>
              <c:x val="1.7638888888888888E-2"/>
              <c:y val="3.4413271604938261E-2"/>
            </c:manualLayout>
          </c:layout>
          <c:overlay val="0"/>
        </c:title>
        <c:numFmt formatCode="0" sourceLinked="1"/>
        <c:majorTickMark val="out"/>
        <c:minorTickMark val="none"/>
        <c:tickLblPos val="nextTo"/>
        <c:crossAx val="300818816"/>
        <c:crosses val="autoZero"/>
        <c:crossBetween val="midCat"/>
      </c:valAx>
      <c:valAx>
        <c:axId val="302924544"/>
        <c:scaling>
          <c:orientation val="minMax"/>
        </c:scaling>
        <c:delete val="0"/>
        <c:axPos val="r"/>
        <c:numFmt formatCode="0" sourceLinked="1"/>
        <c:majorTickMark val="out"/>
        <c:minorTickMark val="none"/>
        <c:tickLblPos val="nextTo"/>
        <c:crossAx val="302927232"/>
        <c:crosses val="max"/>
        <c:crossBetween val="midCat"/>
      </c:valAx>
      <c:valAx>
        <c:axId val="30292723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302924544"/>
        <c:crosses val="autoZero"/>
        <c:crossBetween val="midCat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951</Words>
  <Characters>5612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imhotep</dc:creator>
  <cp:lastModifiedBy>imhotep</cp:lastModifiedBy>
  <cp:revision>3</cp:revision>
  <cp:lastPrinted>2016-01-24T13:18:00Z</cp:lastPrinted>
  <dcterms:created xsi:type="dcterms:W3CDTF">2016-01-24T13:17:00Z</dcterms:created>
  <dcterms:modified xsi:type="dcterms:W3CDTF">2016-01-24T13:18:00Z</dcterms:modified>
</cp:coreProperties>
</file>