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8B" w:rsidRDefault="00AA2A8B" w:rsidP="00AA2A8B">
      <w:pPr>
        <w:pStyle w:val="Podkapitola"/>
        <w:ind w:left="0" w:firstLine="0"/>
        <w:rPr>
          <w:rFonts w:eastAsiaTheme="minorEastAsia"/>
        </w:rPr>
      </w:pPr>
      <w:bookmarkStart w:id="0" w:name="_Toc429589058"/>
      <w:r>
        <w:rPr>
          <w:rFonts w:eastAsiaTheme="minorEastAsia"/>
        </w:rPr>
        <w:t>Rovnoměrný pohyb po kružnici</w:t>
      </w:r>
      <w:bookmarkEnd w:id="0"/>
    </w:p>
    <w:p w:rsidR="00AA2A8B" w:rsidRPr="006C24B5" w:rsidRDefault="00AA2A8B" w:rsidP="00AA2A8B">
      <w:pPr>
        <w:pStyle w:val="Bntextrga"/>
      </w:pPr>
      <w:r>
        <w:br/>
      </w:r>
      <w:r w:rsidRPr="001619D3">
        <w:rPr>
          <w:rFonts w:cs="Times New Roman"/>
        </w:rPr>
        <w:t>Online:</w:t>
      </w:r>
      <w:r>
        <w:rPr>
          <w:rFonts w:cs="Times New Roman"/>
        </w:rPr>
        <w:t xml:space="preserve"> </w:t>
      </w:r>
      <w:hyperlink r:id="rId5" w:history="1">
        <w:r w:rsidRPr="009E755A">
          <w:rPr>
            <w:rStyle w:val="Hypertextovodkaz"/>
            <w:rFonts w:cs="Times New Roman"/>
          </w:rPr>
          <w:t>http://www.sclpx.eu/lab1R.php?exp=9</w:t>
        </w:r>
      </w:hyperlink>
      <w:r>
        <w:rPr>
          <w:rFonts w:cs="Times New Roman"/>
        </w:rPr>
        <w:t xml:space="preserve"> </w:t>
      </w:r>
    </w:p>
    <w:p w:rsidR="00AA2A8B" w:rsidRDefault="00AA2A8B" w:rsidP="00AA2A8B">
      <w:pPr>
        <w:pStyle w:val="Bntextrga"/>
        <w:spacing w:line="360" w:lineRule="auto"/>
        <w:jc w:val="both"/>
      </w:pPr>
      <w:r w:rsidRPr="006C24B5">
        <w:tab/>
        <w:t xml:space="preserve">Pro </w:t>
      </w:r>
      <w:r>
        <w:t>tento experiment jsme použili starý funkční větráček z počítače, na který jsme pomocí vteřinového lepidla přilepili dva šrouby. Na tyto jsme pak symetricky upevnili dřevěnou lať o délce 50 cm, šířce 2 cm a tloušťce 4 mm, kterou jsme vyrobili z 90 cm dlouhé latě zakoupené v železářství. Jedno rameno jsme opatřili pružným plastovým měřítkem o délce 25 cm s dílkem o velikosti 1 mm. Takto upravený větráček jsme upevnili do malého svěráku s polohovatelným natočením čelistí. Experiment lze modifikovat jednodušším způsobem využitím špejle upevněné pomocí modelíny k větráčku.</w:t>
      </w:r>
    </w:p>
    <w:p w:rsidR="00AA2A8B" w:rsidRPr="005C6237" w:rsidRDefault="00AA2A8B" w:rsidP="00AA2A8B">
      <w:pPr>
        <w:pStyle w:val="Bntextrga"/>
        <w:spacing w:line="360" w:lineRule="auto"/>
        <w:jc w:val="both"/>
        <w:rPr>
          <w:b/>
        </w:rPr>
      </w:pPr>
      <w:r w:rsidRPr="005C6237">
        <w:rPr>
          <w:b/>
        </w:rPr>
        <w:t>Úvod</w:t>
      </w:r>
    </w:p>
    <w:p w:rsidR="00AA2A8B" w:rsidRDefault="00AA2A8B" w:rsidP="00AA2A8B">
      <w:pPr>
        <w:pStyle w:val="Bntextrga"/>
        <w:spacing w:line="360" w:lineRule="auto"/>
        <w:jc w:val="both"/>
      </w:pPr>
      <w:r>
        <w:t>Cílem tohoto experimentu je ověřit vztah pro obvodovou rychlost v závislosti na vzdálenosti od středu otáčení a v závislosti na měnící se úhlové rychlosti:</w:t>
      </w:r>
    </w:p>
    <w:p w:rsidR="00AA2A8B" w:rsidRDefault="00AA2A8B" w:rsidP="00AA2A8B">
      <w:pPr>
        <w:pStyle w:val="Bntextrga"/>
        <w:spacing w:line="360" w:lineRule="auto"/>
        <w:jc w:val="right"/>
        <w:rPr>
          <w:rFonts w:eastAsiaTheme="minorEastAsia"/>
        </w:rPr>
      </w:pPr>
      <m:oMath>
        <m:r>
          <w:rPr>
            <w:rFonts w:ascii="Cambria Math" w:hAnsi="Cambria Math"/>
          </w:rPr>
          <m:t>v=ωr</m:t>
        </m:r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(1.2.1)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Nejprve při konstantní úhlové rychlosti větráčku, která je dána pevně nastaveným napájecím napětím, např. 3 V, budeme měnit vzdálenost monogatu od středu otáčení. Při známé šířce destičky a době průchodu latě optickou bránou, kterou zjistíme ve FAE, můžeme opět vypočítat průměrnou rychlost ramene pro daný poloměr </w:t>
      </w:r>
      <w:r w:rsidRPr="00EA1C86">
        <w:rPr>
          <w:rFonts w:eastAsiaTheme="minorEastAsia"/>
          <w:i/>
        </w:rPr>
        <w:t>r</w:t>
      </w:r>
      <w:r>
        <w:rPr>
          <w:rFonts w:eastAsiaTheme="minorEastAsia"/>
        </w:rPr>
        <w:t xml:space="preserve">. Ve druhé části experimentu pak při pevně dané vzdálenosti </w:t>
      </w:r>
      <w:r w:rsidRPr="009769FE">
        <w:rPr>
          <w:rFonts w:eastAsiaTheme="minorEastAsia"/>
          <w:i/>
        </w:rPr>
        <w:t>r</w:t>
      </w:r>
      <w:r>
        <w:rPr>
          <w:rFonts w:eastAsiaTheme="minorEastAsia"/>
        </w:rPr>
        <w:t xml:space="preserve"> budeme měnit napájecí napětí větráčku a tím i úhlovou rychlost.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</w:rPr>
      </w:pPr>
      <w:r w:rsidRPr="0035549F">
        <w:rPr>
          <w:rFonts w:eastAsiaTheme="minorEastAsia"/>
          <w:b/>
        </w:rPr>
        <w:t>Pomůcky:</w:t>
      </w:r>
      <w:r>
        <w:rPr>
          <w:rFonts w:eastAsiaTheme="minorEastAsia"/>
        </w:rPr>
        <w:t xml:space="preserve"> monogate, větráček s připevněným ramenem, zdroj </w:t>
      </w:r>
      <w:proofErr w:type="spellStart"/>
      <w:r>
        <w:rPr>
          <w:rFonts w:eastAsiaTheme="minorEastAsia"/>
        </w:rPr>
        <w:t>ss</w:t>
      </w:r>
      <w:proofErr w:type="spellEnd"/>
      <w:r>
        <w:rPr>
          <w:rFonts w:eastAsiaTheme="minorEastAsia"/>
        </w:rPr>
        <w:t xml:space="preserve"> napětí, stativový materiál</w:t>
      </w:r>
    </w:p>
    <w:p w:rsidR="00AA2A8B" w:rsidRPr="004034DB" w:rsidRDefault="00AA2A8B" w:rsidP="00AA2A8B">
      <w:pPr>
        <w:pStyle w:val="Bntextrga"/>
        <w:spacing w:line="360" w:lineRule="auto"/>
        <w:jc w:val="both"/>
        <w:rPr>
          <w:rFonts w:eastAsiaTheme="minorEastAsia"/>
          <w:b/>
        </w:rPr>
      </w:pPr>
      <w:r w:rsidRPr="004034DB">
        <w:rPr>
          <w:rFonts w:eastAsiaTheme="minorEastAsia"/>
          <w:b/>
        </w:rPr>
        <w:t>Postup práce</w:t>
      </w:r>
    </w:p>
    <w:p w:rsidR="00AA2A8B" w:rsidRDefault="00AA2A8B" w:rsidP="00AA2A8B">
      <w:pPr>
        <w:pStyle w:val="Bntextrga"/>
        <w:spacing w:line="360" w:lineRule="auto"/>
        <w:jc w:val="both"/>
      </w:pPr>
      <w:r>
        <w:t xml:space="preserve">Uspořádání experimentu je na obrázku 1.2.1. Monogate nastavíme vertikálně tak, aby laserový paprsek směřoval na konkrétně zvolenou hodnotu vzdálenosti </w:t>
      </w:r>
      <w:r>
        <w:rPr>
          <w:i/>
        </w:rPr>
        <w:t>r</w:t>
      </w:r>
      <w:r>
        <w:t xml:space="preserve"> od středu otáčení, a měření postupně opakujeme pro různé vzdálenosti. Ve FAE zaznamenáme průběh signálu, který můžeme vidět na obr. 1.2.2. Protože otáčení větráku nemusí být (a také v reálu není) úplně rovnoměrné, určíme periodu nikoliv jako čas mezi dvěma po sobě jdoucími píky, ale lepší je nechat experiment probíhat třeba 30 sekund a periodu určit tak, že myší vybereme větší počet píků najednou. Dobu jedné periody určíme vydělením takto vybrané časové oblasti počtem vybraných period. Na obr. 1.2.2 vidíme např. výběr 7 period, takže takto získaný časový údaj budeme dělit sedmi. Z hodnoty periody vypočítáme ze vztahu </w:t>
      </w:r>
      <m:oMath>
        <m:r>
          <w:rPr>
            <w:rFonts w:ascii="Cambria Math" w:hAnsi="Cambria Math"/>
          </w:rPr>
          <m:t>ω=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lastRenderedPageBreak/>
        <w:t xml:space="preserve">velikost úhlové rychlosti </w:t>
      </w:r>
      <m:oMath>
        <m:r>
          <w:rPr>
            <w:rFonts w:ascii="Cambria Math" w:hAnsi="Cambria Math"/>
          </w:rPr>
          <m:t>ω</m:t>
        </m:r>
      </m:oMath>
      <w:r>
        <w:rPr>
          <w:rFonts w:eastAsiaTheme="minorEastAsia"/>
        </w:rPr>
        <w:t xml:space="preserve"> a ze vztahu (1.2.1) vypočítáme teoretickou hodnotu obvodové rychlosti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teor</m:t>
            </m:r>
          </m:sub>
        </m:sSub>
      </m:oMath>
      <w:r>
        <w:rPr>
          <w:rFonts w:eastAsiaTheme="minorEastAsia"/>
        </w:rPr>
        <w:t xml:space="preserve">. Tuto rychlost pak porovnáme s experimentálně určenou rychlostí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sub>
        </m:sSub>
      </m:oMath>
      <w:r>
        <w:rPr>
          <w:rFonts w:eastAsiaTheme="minorEastAsia"/>
        </w:rPr>
        <w:t xml:space="preserve">, kterou získáme výpočtem ze vztahu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r>
              <w:rPr>
                <w:rFonts w:ascii="Cambria Math" w:eastAsiaTheme="minorEastAsia" w:hAnsi="Cambria Math"/>
              </w:rPr>
              <m:t>t</m:t>
            </m:r>
          </m:den>
        </m:f>
      </m:oMath>
      <w:r>
        <w:rPr>
          <w:rFonts w:eastAsiaTheme="minorEastAsia"/>
        </w:rPr>
        <w:t xml:space="preserve">, kde </w:t>
      </w:r>
      <w:r>
        <w:rPr>
          <w:rFonts w:eastAsiaTheme="minorEastAsia"/>
          <w:i/>
        </w:rPr>
        <w:t>d</w:t>
      </w:r>
      <w:r>
        <w:rPr>
          <w:rFonts w:eastAsiaTheme="minorEastAsia"/>
        </w:rPr>
        <w:t xml:space="preserve"> = 0,02 m je šířka latě a 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 je doba průchodu latě monogatem.</w:t>
      </w:r>
    </w:p>
    <w:p w:rsidR="00AA2A8B" w:rsidRDefault="00AA2A8B" w:rsidP="00AA2A8B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63CDC745" wp14:editId="68628964">
            <wp:extent cx="5760085" cy="323977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_rovnomerny_pohyb_po_kruznic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8B" w:rsidRPr="007A2BCA" w:rsidRDefault="00AA2A8B" w:rsidP="00AA2A8B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1.2</w:t>
      </w:r>
      <w:r w:rsidRPr="007A2BCA">
        <w:rPr>
          <w:rFonts w:eastAsiaTheme="minorEastAsia"/>
          <w:sz w:val="20"/>
          <w:szCs w:val="20"/>
        </w:rPr>
        <w:t xml:space="preserve">.1 Uspořádání experimentu – </w:t>
      </w:r>
      <w:r>
        <w:rPr>
          <w:rFonts w:eastAsiaTheme="minorEastAsia"/>
          <w:sz w:val="20"/>
          <w:szCs w:val="20"/>
        </w:rPr>
        <w:t>Rovnoměrný pohyb po kružnici</w:t>
      </w:r>
    </w:p>
    <w:p w:rsidR="00AA2A8B" w:rsidRDefault="00AA2A8B" w:rsidP="00AA2A8B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273DADAD" wp14:editId="043C925A">
            <wp:extent cx="5760085" cy="323977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_rovnomerny_pohyb_po_kruznici_3V_7cm_vyber_sedmi_perio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8B" w:rsidRPr="007A2BCA" w:rsidRDefault="00AA2A8B" w:rsidP="00AA2A8B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1.2.2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Oscilogram</w:t>
      </w:r>
      <w:r w:rsidRPr="007A2BCA">
        <w:rPr>
          <w:rFonts w:eastAsiaTheme="minorEastAsia"/>
          <w:sz w:val="20"/>
          <w:szCs w:val="20"/>
        </w:rPr>
        <w:t xml:space="preserve"> experimentu – </w:t>
      </w:r>
      <w:r>
        <w:rPr>
          <w:rFonts w:eastAsiaTheme="minorEastAsia"/>
          <w:sz w:val="20"/>
          <w:szCs w:val="20"/>
        </w:rPr>
        <w:t>Rovnoměrný pohyb po kružnici – výběr oblasti odpovídající 7 periodám</w:t>
      </w:r>
    </w:p>
    <w:p w:rsidR="00AA2A8B" w:rsidRDefault="00AA2A8B" w:rsidP="00AA2A8B">
      <w:pPr>
        <w:pStyle w:val="Bntextrga"/>
        <w:spacing w:line="360" w:lineRule="auto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22C74BA2" wp14:editId="52AD3D86">
            <wp:extent cx="5760085" cy="323977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2_rovnomerny_pohyb_po_kruznici_pruchod_rame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A8B" w:rsidRPr="007A2BCA" w:rsidRDefault="00AA2A8B" w:rsidP="00AA2A8B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1.2.3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Oscilogram</w:t>
      </w:r>
      <w:r w:rsidRPr="007A2BCA">
        <w:rPr>
          <w:rFonts w:eastAsiaTheme="minorEastAsia"/>
          <w:sz w:val="20"/>
          <w:szCs w:val="20"/>
        </w:rPr>
        <w:t xml:space="preserve"> experimentu – </w:t>
      </w:r>
      <w:r>
        <w:rPr>
          <w:rFonts w:eastAsiaTheme="minorEastAsia"/>
          <w:sz w:val="20"/>
          <w:szCs w:val="20"/>
        </w:rPr>
        <w:t>Rovnoměrný pohyb po kružnici – průchod ramene monogatem</w:t>
      </w:r>
    </w:p>
    <w:p w:rsidR="005A45A9" w:rsidRDefault="005A45A9" w:rsidP="00AA2A8B">
      <w:pPr>
        <w:pStyle w:val="Bntextrga"/>
        <w:spacing w:line="360" w:lineRule="auto"/>
        <w:jc w:val="both"/>
        <w:rPr>
          <w:rFonts w:eastAsiaTheme="minorEastAsia"/>
        </w:rPr>
      </w:pPr>
    </w:p>
    <w:p w:rsidR="00AA2A8B" w:rsidRPr="00320D8C" w:rsidRDefault="00AA2A8B" w:rsidP="00AA2A8B">
      <w:pPr>
        <w:pStyle w:val="Bntextrga"/>
        <w:spacing w:line="360" w:lineRule="auto"/>
        <w:jc w:val="both"/>
        <w:rPr>
          <w:rFonts w:eastAsiaTheme="minorEastAsia"/>
        </w:rPr>
      </w:pPr>
      <w:bookmarkStart w:id="1" w:name="_GoBack"/>
      <w:bookmarkEnd w:id="1"/>
      <w:r>
        <w:rPr>
          <w:rFonts w:eastAsiaTheme="minorEastAsia"/>
        </w:rPr>
        <w:t xml:space="preserve">Tento čas </w:t>
      </w:r>
      <w:r>
        <w:rPr>
          <w:rFonts w:eastAsiaTheme="minorEastAsia"/>
          <w:i/>
        </w:rPr>
        <w:t>t</w:t>
      </w:r>
      <w:r>
        <w:rPr>
          <w:rFonts w:eastAsiaTheme="minorEastAsia"/>
        </w:rPr>
        <w:t xml:space="preserve"> získáme ve FAE zvětšením signálu pomocí nástroje Lupa tak, abychom viděli jen jeden pík. Situaci ilustruje obrázek 1.2.3, kde je modře znázorněna oblast odpovídající průchodu dřevěného ramene optickou bránou.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t xml:space="preserve">Měření provedeme pro čtyři až pět různých hodnot vzdáleností </w:t>
      </w:r>
      <w:r>
        <w:rPr>
          <w:i/>
        </w:rPr>
        <w:t>r</w:t>
      </w:r>
      <w:r>
        <w:t xml:space="preserve">, např. 7 cm, 10 cm, 13 cm, atd. </w:t>
      </w:r>
      <w:r>
        <w:rPr>
          <w:rFonts w:eastAsiaTheme="minorEastAsia"/>
          <w:szCs w:val="24"/>
        </w:rPr>
        <w:t xml:space="preserve">Námi naměřené hodnoty jsou uvedeny v tabulce 1.2. Na závěr ještě v programu MS Excel určíme </w:t>
      </w:r>
      <w:r w:rsidR="00C716E5">
        <w:rPr>
          <w:rFonts w:eastAsiaTheme="minorEastAsia"/>
          <w:szCs w:val="24"/>
        </w:rPr>
        <w:t>nejistoty</w:t>
      </w:r>
      <w:r>
        <w:rPr>
          <w:rFonts w:eastAsiaTheme="minorEastAsia"/>
          <w:szCs w:val="24"/>
        </w:rPr>
        <w:t xml:space="preserve"> měření jednotlivých měřených i počítaných veličin a vytvoříme graf závislosti obvodové rychlosti </w:t>
      </w:r>
      <w:proofErr w:type="spellStart"/>
      <w:r w:rsidRPr="0004589A">
        <w:rPr>
          <w:rFonts w:eastAsiaTheme="minorEastAsia"/>
          <w:i/>
          <w:szCs w:val="24"/>
        </w:rPr>
        <w:t>v</w:t>
      </w:r>
      <w:r>
        <w:rPr>
          <w:rFonts w:eastAsiaTheme="minorEastAsia"/>
          <w:szCs w:val="24"/>
          <w:vertAlign w:val="subscript"/>
        </w:rPr>
        <w:t>exp</w:t>
      </w:r>
      <w:proofErr w:type="spellEnd"/>
      <w:r>
        <w:rPr>
          <w:rFonts w:eastAsiaTheme="minorEastAsia"/>
          <w:szCs w:val="24"/>
        </w:rPr>
        <w:t xml:space="preserve"> na vzdálenosti </w:t>
      </w:r>
      <w:r w:rsidRPr="0004589A"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>, který doplníme o regresní analýzu (Přidat spojnici trendu). Graf vytvořený na základě tabulky 1.2 je na obrázku 1.2.4.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</w:p>
    <w:p w:rsidR="00AA2A8B" w:rsidRDefault="00AA2A8B" w:rsidP="00AA2A8B">
      <w:pPr>
        <w:pStyle w:val="Bntextrga"/>
        <w:spacing w:after="0" w:line="360" w:lineRule="auto"/>
        <w:rPr>
          <w:rFonts w:eastAsiaTheme="minorEastAsia"/>
          <w:szCs w:val="24"/>
        </w:rPr>
      </w:pPr>
      <w:r w:rsidRPr="00FC7B7D">
        <w:rPr>
          <w:rFonts w:eastAsiaTheme="minorEastAsia"/>
          <w:b/>
          <w:szCs w:val="24"/>
        </w:rPr>
        <w:t>Tabulka 1</w:t>
      </w:r>
      <w:r>
        <w:rPr>
          <w:rFonts w:eastAsiaTheme="minorEastAsia"/>
          <w:b/>
          <w:szCs w:val="24"/>
        </w:rPr>
        <w:t>.2</w:t>
      </w:r>
      <w:r>
        <w:rPr>
          <w:rFonts w:eastAsiaTheme="minorEastAsia"/>
          <w:szCs w:val="24"/>
        </w:rPr>
        <w:t xml:space="preserve"> Závislost obvodové rychlosti na vzdálenosti od středu otáčení</w:t>
      </w:r>
    </w:p>
    <w:tbl>
      <w:tblPr>
        <w:tblStyle w:val="Mkatabulky"/>
        <w:tblW w:w="90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689"/>
        <w:gridCol w:w="1009"/>
        <w:gridCol w:w="1245"/>
        <w:gridCol w:w="993"/>
        <w:gridCol w:w="1641"/>
        <w:gridCol w:w="1619"/>
        <w:gridCol w:w="992"/>
      </w:tblGrid>
      <w:tr w:rsidR="00AA2A8B" w:rsidTr="00384E88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3F686C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r</w:t>
            </w:r>
            <w:r>
              <w:rPr>
                <w:rFonts w:eastAsiaTheme="minorEastAsia"/>
              </w:rPr>
              <w:t xml:space="preserve"> (m)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3F686C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n</w:t>
            </w:r>
            <w:r>
              <w:rPr>
                <w:rFonts w:eastAsiaTheme="minorEastAsia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3F686C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  <w:vertAlign w:val="subscript"/>
              </w:rPr>
              <w:t>n</w:t>
            </w:r>
            <w:proofErr w:type="spellEnd"/>
            <w:r>
              <w:rPr>
                <w:rFonts w:eastAsiaTheme="minorEastAsia"/>
              </w:rPr>
              <w:t xml:space="preserve"> (s)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  <w:vertAlign w:val="subscript"/>
              </w:rPr>
              <w:t xml:space="preserve"> </w:t>
            </w:r>
            <w:r>
              <w:rPr>
                <w:rFonts w:eastAsiaTheme="minorEastAsia"/>
              </w:rPr>
              <w:t>(s)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A2A8B" w:rsidRPr="00304458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ω 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oMath>
            </m:oMathPara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i/>
              </w:rPr>
              <w:t>v</w:t>
            </w:r>
            <w:r>
              <w:rPr>
                <w:rFonts w:eastAsiaTheme="minorEastAsia"/>
                <w:vertAlign w:val="subscript"/>
              </w:rPr>
              <w:t>teor</w:t>
            </w:r>
            <w:proofErr w:type="spellEnd"/>
            <w:r>
              <w:rPr>
                <w:rFonts w:eastAsiaTheme="minorEastAsia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4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  <w:i/>
              </w:rPr>
              <w:t>v</w:t>
            </w:r>
            <w:r w:rsidRPr="004A3ED7">
              <w:rPr>
                <w:rFonts w:eastAsiaTheme="minorEastAsia"/>
                <w:vertAlign w:val="subscript"/>
              </w:rPr>
              <w:t>exp</w:t>
            </w:r>
            <w:proofErr w:type="spellEnd"/>
            <w:r>
              <w:rPr>
                <w:rFonts w:eastAsiaTheme="minorEastAsia"/>
              </w:rPr>
              <w:t xml:space="preserve"> (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m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4"/>
                    </w:rPr>
                    <m:t>-1</m:t>
                  </m:r>
                </m:sup>
              </m:sSup>
            </m:oMath>
            <w:r>
              <w:rPr>
                <w:rFonts w:eastAsiaTheme="minor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5A21CA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i/>
              </w:rPr>
              <w:t>t</w:t>
            </w:r>
            <w:r>
              <w:rPr>
                <w:rFonts w:eastAsiaTheme="minorEastAsia"/>
              </w:rPr>
              <w:t xml:space="preserve"> (s)</w:t>
            </w:r>
          </w:p>
        </w:tc>
      </w:tr>
      <w:tr w:rsidR="00AA2A8B" w:rsidTr="00384E88">
        <w:trPr>
          <w:jc w:val="center"/>
        </w:trPr>
        <w:tc>
          <w:tcPr>
            <w:tcW w:w="885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0,07 </w:t>
            </w:r>
          </w:p>
        </w:tc>
        <w:tc>
          <w:tcPr>
            <w:tcW w:w="689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22 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3,550 </w:t>
            </w:r>
          </w:p>
        </w:tc>
        <w:tc>
          <w:tcPr>
            <w:tcW w:w="1245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0,161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38,9</w:t>
            </w:r>
          </w:p>
        </w:tc>
        <w:tc>
          <w:tcPr>
            <w:tcW w:w="1641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2,7 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2,9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681744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0,007</w:t>
            </w:r>
          </w:p>
        </w:tc>
      </w:tr>
      <w:tr w:rsidR="00AA2A8B" w:rsidTr="00384E88">
        <w:trPr>
          <w:jc w:val="center"/>
        </w:trPr>
        <w:tc>
          <w:tcPr>
            <w:tcW w:w="885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0,10 </w:t>
            </w:r>
          </w:p>
        </w:tc>
        <w:tc>
          <w:tcPr>
            <w:tcW w:w="68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31 </w:t>
            </w:r>
          </w:p>
        </w:tc>
        <w:tc>
          <w:tcPr>
            <w:tcW w:w="100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4,929 </w:t>
            </w:r>
          </w:p>
        </w:tc>
        <w:tc>
          <w:tcPr>
            <w:tcW w:w="1245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0,159 </w:t>
            </w:r>
          </w:p>
        </w:tc>
        <w:tc>
          <w:tcPr>
            <w:tcW w:w="993" w:type="dxa"/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39,5</w:t>
            </w:r>
          </w:p>
        </w:tc>
        <w:tc>
          <w:tcPr>
            <w:tcW w:w="1641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3,9 </w:t>
            </w:r>
          </w:p>
        </w:tc>
        <w:tc>
          <w:tcPr>
            <w:tcW w:w="161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4,0 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AA2A8B" w:rsidRPr="00681744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0,005</w:t>
            </w:r>
          </w:p>
        </w:tc>
      </w:tr>
      <w:tr w:rsidR="00AA2A8B" w:rsidTr="00384E88">
        <w:trPr>
          <w:jc w:val="center"/>
        </w:trPr>
        <w:tc>
          <w:tcPr>
            <w:tcW w:w="885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0,13 </w:t>
            </w:r>
          </w:p>
        </w:tc>
        <w:tc>
          <w:tcPr>
            <w:tcW w:w="68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25 </w:t>
            </w:r>
          </w:p>
        </w:tc>
        <w:tc>
          <w:tcPr>
            <w:tcW w:w="100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3,994 </w:t>
            </w:r>
          </w:p>
        </w:tc>
        <w:tc>
          <w:tcPr>
            <w:tcW w:w="1245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0,160 </w:t>
            </w:r>
          </w:p>
        </w:tc>
        <w:tc>
          <w:tcPr>
            <w:tcW w:w="993" w:type="dxa"/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39,3</w:t>
            </w:r>
          </w:p>
        </w:tc>
        <w:tc>
          <w:tcPr>
            <w:tcW w:w="1641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5,1 </w:t>
            </w:r>
          </w:p>
        </w:tc>
        <w:tc>
          <w:tcPr>
            <w:tcW w:w="1619" w:type="dxa"/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5,0 </w:t>
            </w:r>
          </w:p>
        </w:tc>
        <w:tc>
          <w:tcPr>
            <w:tcW w:w="992" w:type="dxa"/>
            <w:tcMar>
              <w:top w:w="113" w:type="dxa"/>
              <w:bottom w:w="113" w:type="dxa"/>
            </w:tcMar>
          </w:tcPr>
          <w:p w:rsidR="00AA2A8B" w:rsidRPr="00681744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0,004 </w:t>
            </w:r>
          </w:p>
        </w:tc>
      </w:tr>
      <w:tr w:rsidR="00AA2A8B" w:rsidTr="00384E88">
        <w:trPr>
          <w:jc w:val="center"/>
        </w:trPr>
        <w:tc>
          <w:tcPr>
            <w:tcW w:w="88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0,16 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24 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3,878 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0,162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A2A8B" w:rsidRDefault="00AA2A8B" w:rsidP="00384E88">
            <w:pPr>
              <w:pStyle w:val="Bntextrga"/>
              <w:ind w:left="-373" w:firstLine="37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38,9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6,2 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6,7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AA2A8B" w:rsidRPr="00681744" w:rsidRDefault="00AA2A8B" w:rsidP="00384E88">
            <w:pPr>
              <w:pStyle w:val="Bntextrga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0,003 </w:t>
            </w:r>
          </w:p>
        </w:tc>
      </w:tr>
    </w:tbl>
    <w:p w:rsidR="00AA2A8B" w:rsidRDefault="00AA2A8B" w:rsidP="00AA2A8B">
      <w:pPr>
        <w:pStyle w:val="Bntextrga"/>
        <w:spacing w:line="360" w:lineRule="auto"/>
      </w:pPr>
    </w:p>
    <w:p w:rsidR="00AA2A8B" w:rsidRDefault="00AA2A8B" w:rsidP="00AA2A8B">
      <w:pPr>
        <w:pStyle w:val="Bntextrga"/>
        <w:spacing w:line="360" w:lineRule="auto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5B1E15F2" wp14:editId="2C3CBDB5">
            <wp:extent cx="5760000" cy="3240000"/>
            <wp:effectExtent l="0" t="0" r="12700" b="17780"/>
            <wp:docPr id="19" name="Graf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2A8B" w:rsidRPr="007A2BCA" w:rsidRDefault="00AA2A8B" w:rsidP="00AA2A8B">
      <w:pPr>
        <w:pStyle w:val="Bntextrga"/>
        <w:spacing w:line="360" w:lineRule="auto"/>
        <w:jc w:val="center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Obr. 1.2</w:t>
      </w:r>
      <w:r w:rsidRPr="007A2BCA">
        <w:rPr>
          <w:rFonts w:eastAsiaTheme="minorEastAsia"/>
          <w:sz w:val="20"/>
          <w:szCs w:val="20"/>
        </w:rPr>
        <w:t>.</w:t>
      </w:r>
      <w:r>
        <w:rPr>
          <w:rFonts w:eastAsiaTheme="minorEastAsia"/>
          <w:sz w:val="20"/>
          <w:szCs w:val="20"/>
        </w:rPr>
        <w:t>4</w:t>
      </w:r>
      <w:r w:rsidRPr="007A2BCA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Graf závislosti obvodové rychlosti na vzdálenosti od středu otáčení 1.1</w:t>
      </w:r>
      <w:r w:rsidRPr="007A2BCA">
        <w:rPr>
          <w:rFonts w:eastAsiaTheme="minorEastAsia"/>
          <w:sz w:val="20"/>
          <w:szCs w:val="20"/>
        </w:rPr>
        <w:t xml:space="preserve"> – </w:t>
      </w:r>
      <w:r>
        <w:rPr>
          <w:rFonts w:eastAsiaTheme="minorEastAsia"/>
          <w:sz w:val="20"/>
          <w:szCs w:val="20"/>
        </w:rPr>
        <w:t>Rovnoměrný pohyb po kružnici</w:t>
      </w:r>
    </w:p>
    <w:p w:rsidR="00AA2A8B" w:rsidRPr="006D4D1F" w:rsidRDefault="00AA2A8B" w:rsidP="00AA2A8B">
      <w:pPr>
        <w:pStyle w:val="Bntextrga"/>
        <w:spacing w:line="360" w:lineRule="auto"/>
      </w:pPr>
      <w:r>
        <w:t xml:space="preserve">Pomocí statistické analýzy dat </w:t>
      </w:r>
      <w:r>
        <w:rPr>
          <w:rFonts w:eastAsiaTheme="minorEastAsia"/>
          <w:szCs w:val="24"/>
        </w:rPr>
        <w:t xml:space="preserve">(Data </w:t>
      </w:r>
      <w:r>
        <w:rPr>
          <w:rFonts w:eastAsiaTheme="minorEastAsia"/>
          <w:szCs w:val="24"/>
        </w:rPr>
        <w:sym w:font="Wingdings 3" w:char="F022"/>
      </w:r>
      <w:r>
        <w:rPr>
          <w:rFonts w:eastAsiaTheme="minorEastAsia"/>
          <w:szCs w:val="24"/>
        </w:rPr>
        <w:t xml:space="preserve"> Analýza dat </w:t>
      </w:r>
      <w:r>
        <w:rPr>
          <w:rFonts w:eastAsiaTheme="minorEastAsia"/>
          <w:szCs w:val="24"/>
        </w:rPr>
        <w:sym w:font="Wingdings 3" w:char="F022"/>
      </w:r>
      <w:r>
        <w:rPr>
          <w:rFonts w:eastAsiaTheme="minorEastAsia"/>
          <w:szCs w:val="24"/>
        </w:rPr>
        <w:t xml:space="preserve"> Popisná statistika)</w:t>
      </w:r>
      <w:r>
        <w:t xml:space="preserve"> určíme v programu MS Excel ještě hodnotu úhlové rychlosti </w:t>
      </w:r>
      <m:oMath>
        <m:r>
          <w:rPr>
            <w:rFonts w:ascii="Cambria Math" w:eastAsiaTheme="minorEastAsia" w:hAnsi="Cambria Math"/>
          </w:rPr>
          <m:t>ω=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39,1±0,2</m:t>
            </m:r>
          </m:e>
        </m:d>
      </m:oMath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. Hodnota určená z grafu 1.2.4 má velikost </w:t>
      </w:r>
      <m:oMath>
        <m:r>
          <w:rPr>
            <w:rFonts w:ascii="Cambria Math" w:eastAsiaTheme="minorEastAsia" w:hAnsi="Cambria Math"/>
          </w:rPr>
          <m:t>ω=41,4</m:t>
        </m:r>
      </m:oMath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. Hodnoty rychlostí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teor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sub>
        </m:sSub>
      </m:oMath>
      <w:r>
        <w:rPr>
          <w:rFonts w:eastAsiaTheme="minorEastAsia"/>
        </w:rPr>
        <w:t xml:space="preserve"> zaokrouhlíme v souladu s pravidly pro zpracování výsledků měření na jedno desetinné místo, protože </w:t>
      </w:r>
      <m:oMath>
        <m:r>
          <w:rPr>
            <w:rFonts w:ascii="Cambria Math" w:eastAsiaTheme="minorEastAsia" w:hAnsi="Cambria Math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teor</m:t>
            </m:r>
          </m:sub>
        </m:sSub>
        <m:r>
          <w:rPr>
            <w:rFonts w:ascii="Cambria Math" w:eastAsiaTheme="minorEastAsia" w:hAnsi="Cambria Math"/>
          </w:rPr>
          <m:t>=δ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exp</m:t>
            </m:r>
          </m:sub>
        </m:sSub>
        <m:r>
          <w:rPr>
            <w:rFonts w:ascii="Cambria Math" w:eastAsiaTheme="minorEastAsia" w:hAnsi="Cambria Math"/>
          </w:rPr>
          <m:t>=δω</m:t>
        </m:r>
      </m:oMath>
      <w:r>
        <w:rPr>
          <w:rFonts w:eastAsiaTheme="minorEastAsia"/>
        </w:rPr>
        <w:t>.</w:t>
      </w:r>
    </w:p>
    <w:p w:rsidR="00AA2A8B" w:rsidRDefault="00AA2A8B" w:rsidP="00AA2A8B">
      <w:pPr>
        <w:pStyle w:val="Bntextrga"/>
        <w:spacing w:line="360" w:lineRule="auto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>Závěr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Hodnota úhlové rychlosti, naměřená při rovnoměrném pohybu po kružnici pro velikost napájecího napětí 3 V, má velikost </w:t>
      </w:r>
      <m:oMath>
        <m:r>
          <w:rPr>
            <w:rFonts w:ascii="Cambria Math" w:eastAsiaTheme="minorEastAsia" w:hAnsi="Cambria Math"/>
            <w:szCs w:val="24"/>
          </w:rPr>
          <m:t>ω=</m:t>
        </m:r>
        <m:d>
          <m:dPr>
            <m:ctrlPr>
              <w:rPr>
                <w:rFonts w:ascii="Cambria Math" w:eastAsiaTheme="minorEastAsia" w:hAnsi="Cambria Math"/>
                <w:i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Cs w:val="24"/>
              </w:rPr>
              <m:t>39,1±0,2</m:t>
            </m:r>
          </m:e>
        </m:d>
      </m:oMath>
      <w:r w:rsidRPr="003942EE">
        <w:rPr>
          <w:rFonts w:eastAsiaTheme="minorEastAsia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. Relativní </w:t>
      </w:r>
      <w:r w:rsidR="00C716E5">
        <w:rPr>
          <w:rFonts w:eastAsiaTheme="minorEastAsia"/>
          <w:szCs w:val="24"/>
        </w:rPr>
        <w:t>nejistota</w:t>
      </w:r>
      <w:r>
        <w:rPr>
          <w:rFonts w:eastAsiaTheme="minorEastAsia"/>
          <w:szCs w:val="24"/>
        </w:rPr>
        <w:t xml:space="preserve"> měření je</w:t>
      </w:r>
      <w:r>
        <w:rPr>
          <w:rFonts w:eastAsiaTheme="minorEastAsia"/>
          <w:szCs w:val="24"/>
        </w:rPr>
        <w:br/>
      </w:r>
      <m:oMath>
        <m:r>
          <w:rPr>
            <w:rFonts w:ascii="Cambria Math" w:eastAsiaTheme="minorEastAsia" w:hAnsi="Cambria Math"/>
            <w:szCs w:val="24"/>
          </w:rPr>
          <m:t>δω=</m:t>
        </m:r>
        <m:f>
          <m:fPr>
            <m:ctrlPr>
              <w:rPr>
                <w:rFonts w:ascii="Cambria Math" w:eastAsiaTheme="minorEastAsia" w:hAnsi="Cambria Math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Cs w:val="24"/>
              </w:rPr>
              <m:t>0,2</m:t>
            </m:r>
          </m:num>
          <m:den>
            <w:proofErr w:type="gramStart"/>
            <m:r>
              <w:rPr>
                <w:rFonts w:ascii="Cambria Math" w:eastAsiaTheme="minorEastAsia" w:hAnsi="Cambria Math"/>
                <w:szCs w:val="24"/>
              </w:rPr>
              <m:t>39,1</m:t>
            </m:r>
          </m:den>
        </m:f>
        <m:r>
          <w:rPr>
            <w:rFonts w:ascii="Cambria Math" w:eastAsiaTheme="minorEastAsia" w:hAnsi="Cambria Math"/>
            <w:szCs w:val="24"/>
          </w:rPr>
          <m:t>≐0,00511≐1</m:t>
        </m:r>
        <w:proofErr w:type="gramEnd"/>
        <m:r>
          <w:rPr>
            <w:rFonts w:ascii="Cambria Math" w:eastAsiaTheme="minorEastAsia" w:hAnsi="Cambria Math"/>
            <w:szCs w:val="24"/>
          </w:rPr>
          <m:t xml:space="preserve"> %</m:t>
        </m:r>
      </m:oMath>
      <w:r>
        <w:rPr>
          <w:rFonts w:eastAsiaTheme="minorEastAsia"/>
          <w:szCs w:val="24"/>
        </w:rPr>
        <w:t xml:space="preserve">. </w:t>
      </w:r>
    </w:p>
    <w:p w:rsidR="00AA2A8B" w:rsidRPr="00663922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Lineární regresní funkce (její směrnice), která je na grafu 1.2.4 vyznačena červenou barvou, poskytuje hodnotu úhlové rychlosti </w:t>
      </w:r>
      <m:oMath>
        <m:r>
          <w:rPr>
            <w:rFonts w:ascii="Cambria Math" w:eastAsiaTheme="minorEastAsia" w:hAnsi="Cambria Math"/>
            <w:szCs w:val="24"/>
          </w:rPr>
          <m:t xml:space="preserve">ω≐41,429 </m:t>
        </m:r>
        <m:sSup>
          <m:sSupPr>
            <m:ctrlPr>
              <w:rPr>
                <w:rFonts w:ascii="Cambria Math" w:eastAsiaTheme="minorEastAsia" w:hAnsi="Cambria Math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s</m:t>
            </m:r>
          </m:e>
          <m:sup>
            <m:r>
              <w:rPr>
                <w:rFonts w:ascii="Cambria Math" w:eastAsiaTheme="minorEastAsia" w:hAnsi="Cambria Math"/>
                <w:szCs w:val="24"/>
              </w:rPr>
              <m:t>-1</m:t>
            </m:r>
          </m:sup>
        </m:sSup>
        <m:r>
          <w:rPr>
            <w:rFonts w:ascii="Cambria Math" w:eastAsiaTheme="minorEastAsia" w:hAnsi="Cambria Math"/>
            <w:szCs w:val="24"/>
          </w:rPr>
          <m:t>≐41,4</m:t>
        </m:r>
      </m:oMath>
      <w:r>
        <w:rPr>
          <w:rFonts w:eastAsiaTheme="minorEastAsia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>
        <w:rPr>
          <w:rFonts w:eastAsiaTheme="minorEastAsia"/>
          <w:szCs w:val="24"/>
        </w:rPr>
        <w:t xml:space="preserve">. </w:t>
      </w:r>
      <w:r>
        <w:rPr>
          <w:rFonts w:eastAsiaTheme="minorEastAsia"/>
          <w:szCs w:val="24"/>
        </w:rPr>
        <w:br/>
        <w:t xml:space="preserve">Z grafu 1.2.4 je jednoznačně patrná lineární závislost obvodové rychlosti </w:t>
      </w:r>
      <w:r w:rsidRPr="00663922">
        <w:rPr>
          <w:rFonts w:eastAsiaTheme="minorEastAsia"/>
          <w:i/>
          <w:szCs w:val="24"/>
        </w:rPr>
        <w:t>v</w:t>
      </w:r>
      <w:r>
        <w:rPr>
          <w:rFonts w:eastAsiaTheme="minorEastAsia"/>
          <w:szCs w:val="24"/>
        </w:rPr>
        <w:t xml:space="preserve"> na vzdálenosti </w:t>
      </w:r>
      <w:r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>.</w:t>
      </w:r>
    </w:p>
    <w:p w:rsidR="00AA2A8B" w:rsidRDefault="00AA2A8B" w:rsidP="00AA2A8B">
      <w:pPr>
        <w:pStyle w:val="Bntextrga"/>
        <w:spacing w:line="360" w:lineRule="auto"/>
        <w:rPr>
          <w:rFonts w:eastAsiaTheme="minorEastAsia"/>
          <w:szCs w:val="24"/>
        </w:rPr>
      </w:pPr>
      <w:r w:rsidRPr="0055352D">
        <w:rPr>
          <w:rFonts w:eastAsiaTheme="minorEastAsia"/>
          <w:b/>
          <w:szCs w:val="24"/>
        </w:rPr>
        <w:t>Otázky na závěr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Načrtněte grafickou závislost obvodové rychlosti na úhlové frekvenci při konstantní vzdálenosti </w:t>
      </w:r>
      <w:r w:rsidRPr="004D4933">
        <w:rPr>
          <w:rFonts w:eastAsiaTheme="minorEastAsia"/>
          <w:i/>
          <w:szCs w:val="24"/>
        </w:rPr>
        <w:t>r</w:t>
      </w:r>
      <w:r>
        <w:rPr>
          <w:rFonts w:eastAsiaTheme="minorEastAsia"/>
          <w:szCs w:val="24"/>
        </w:rPr>
        <w:t>.</w:t>
      </w:r>
    </w:p>
    <w:p w:rsidR="00AA2A8B" w:rsidRDefault="00AA2A8B" w:rsidP="00AA2A8B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Jakým významným bodem musí procházet graf lineární regresní funkce?</w:t>
      </w:r>
    </w:p>
    <w:p w:rsidR="00262990" w:rsidRDefault="00262990"/>
    <w:sectPr w:rsidR="00262990" w:rsidSect="00AA2A8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8B"/>
    <w:rsid w:val="00262990"/>
    <w:rsid w:val="003A7EFC"/>
    <w:rsid w:val="005A45A9"/>
    <w:rsid w:val="006D5C35"/>
    <w:rsid w:val="00AA2A8B"/>
    <w:rsid w:val="00C716E5"/>
    <w:rsid w:val="00CE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AA2A8B"/>
    <w:pPr>
      <w:keepNext/>
      <w:keepLines/>
      <w:spacing w:before="480"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A2A8B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AA2A8B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A2A8B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A2A8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2A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AA2A8B"/>
    <w:pPr>
      <w:keepNext/>
      <w:keepLines/>
      <w:spacing w:before="480" w:after="0"/>
      <w:ind w:left="1134" w:hanging="425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AA2A8B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AA2A8B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AA2A8B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AA2A8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://www.sclpx.eu/lab1R.php?exp=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PhD\excel-tabulky-k-experiment&#367;m\1_2_rovnomerny_pohyb_po_kruznic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 </a:t>
            </a:r>
            <a:endParaRPr lang="en-US" baseline="-250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445243055555555"/>
          <c:y val="0.16493364197530863"/>
          <c:w val="0.57585451388888886"/>
          <c:h val="0.6537515432098765"/>
        </c:manualLayout>
      </c:layout>
      <c:scatterChart>
        <c:scatterStyle val="lineMarker"/>
        <c:varyColors val="0"/>
        <c:ser>
          <c:idx val="0"/>
          <c:order val="0"/>
          <c:tx>
            <c:strRef>
              <c:f>List1!$H$1</c:f>
              <c:strCache>
                <c:ptCount val="1"/>
                <c:pt idx="0">
                  <c:v>vexp</c:v>
                </c:pt>
              </c:strCache>
            </c:strRef>
          </c:tx>
          <c:spPr>
            <a:ln w="28575">
              <a:noFill/>
            </a:ln>
          </c:spPr>
          <c:trendline>
            <c:spPr>
              <a:ln>
                <a:solidFill>
                  <a:srgbClr val="FF0000"/>
                </a:solidFill>
              </a:ln>
            </c:spPr>
            <c:trendlineType val="linear"/>
            <c:backward val="6.0000000000000012E-2"/>
            <c:dispRSqr val="0"/>
            <c:dispEq val="1"/>
            <c:trendlineLbl>
              <c:layout>
                <c:manualLayout>
                  <c:x val="0.36835712891260491"/>
                  <c:y val="-0.1296396479851783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sz="1400">
                      <a:solidFill>
                        <a:srgbClr val="FF0000"/>
                      </a:solidFill>
                    </a:defRPr>
                  </a:pPr>
                  <a:endParaRPr lang="cs-CZ"/>
                </a:p>
              </c:txPr>
            </c:trendlineLbl>
          </c:trendline>
          <c:xVal>
            <c:numRef>
              <c:f>List1!$A$2:$A$5</c:f>
              <c:numCache>
                <c:formatCode>General</c:formatCode>
                <c:ptCount val="4"/>
                <c:pt idx="0">
                  <c:v>7.0000000000000007E-2</c:v>
                </c:pt>
                <c:pt idx="1">
                  <c:v>0.1</c:v>
                </c:pt>
                <c:pt idx="2">
                  <c:v>0.13</c:v>
                </c:pt>
                <c:pt idx="3">
                  <c:v>0.16</c:v>
                </c:pt>
              </c:numCache>
            </c:numRef>
          </c:xVal>
          <c:yVal>
            <c:numRef>
              <c:f>List1!$H$2:$H$5</c:f>
              <c:numCache>
                <c:formatCode>0.0</c:formatCode>
                <c:ptCount val="4"/>
                <c:pt idx="0">
                  <c:v>2.8571428571428572</c:v>
                </c:pt>
                <c:pt idx="1">
                  <c:v>4</c:v>
                </c:pt>
                <c:pt idx="2">
                  <c:v>5</c:v>
                </c:pt>
                <c:pt idx="3">
                  <c:v>6.666666666666667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5398272"/>
        <c:axId val="278056960"/>
      </c:scatterChart>
      <c:valAx>
        <c:axId val="215398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n-US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</a:t>
                </a:r>
                <a:r>
                  <a:rPr lang="cs-CZ" sz="12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(m)</a:t>
                </a:r>
                <a:endParaRPr lang="en-US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7637645833333333"/>
              <c:y val="0.8166740740740741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278056960"/>
        <c:crosses val="autoZero"/>
        <c:crossBetween val="midCat"/>
      </c:valAx>
      <c:valAx>
        <c:axId val="278056960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cs-CZ" sz="1200" b="0" i="1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v</a:t>
                </a:r>
                <a:r>
                  <a:rPr lang="cs-CZ" sz="1200" b="0" baseline="-250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exp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</a:t>
                </a:r>
                <a:r>
                  <a:rPr lang="cs-CZ" sz="1200" b="0" i="0" u="none" strike="noStrike" baseline="0">
                    <a:effectLst/>
                  </a:rPr>
                  <a:t>m ∙ s</a:t>
                </a:r>
                <a:r>
                  <a:rPr lang="cs-CZ" sz="1200" b="0" i="0" u="none" strike="noStrike" baseline="30000">
                    <a:effectLst/>
                  </a:rPr>
                  <a:t>−1</a:t>
                </a:r>
                <a:r>
                  <a:rPr lang="cs-CZ" sz="1200" b="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)</a:t>
                </a:r>
                <a:endParaRPr lang="cs-CZ" sz="1200" b="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8.8888888888888892E-2"/>
              <c:y val="6.5869753086419749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21539827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4</cp:revision>
  <cp:lastPrinted>2016-01-23T16:42:00Z</cp:lastPrinted>
  <dcterms:created xsi:type="dcterms:W3CDTF">2016-01-23T16:41:00Z</dcterms:created>
  <dcterms:modified xsi:type="dcterms:W3CDTF">2016-01-23T16:42:00Z</dcterms:modified>
</cp:coreProperties>
</file>