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26" w:rsidRDefault="005C4426" w:rsidP="003F2BDE">
      <w:pPr>
        <w:pStyle w:val="Podkapitola"/>
      </w:pPr>
      <w:bookmarkStart w:id="0" w:name="_Toc429589068"/>
      <w:r>
        <w:t xml:space="preserve">Měření hodnoty </w:t>
      </w:r>
      <w:r w:rsidRPr="00C67DA8">
        <w:rPr>
          <w:rFonts w:ascii="Times New Roman" w:hAnsi="Times New Roman"/>
          <w:i/>
        </w:rPr>
        <w:t>g</w:t>
      </w:r>
      <w:r>
        <w:t xml:space="preserve"> z periody kmitů kyvadla</w:t>
      </w:r>
      <w:bookmarkEnd w:id="0"/>
    </w:p>
    <w:p w:rsidR="005C4426" w:rsidRDefault="005C4426" w:rsidP="005C4426">
      <w:pPr>
        <w:pStyle w:val="Bntextrga"/>
        <w:spacing w:line="360" w:lineRule="auto"/>
        <w:jc w:val="both"/>
      </w:pPr>
      <w:r>
        <w:br/>
      </w:r>
      <w:r w:rsidRPr="001619D3">
        <w:rPr>
          <w:rFonts w:cs="Times New Roman"/>
        </w:rPr>
        <w:t>Online:</w:t>
      </w:r>
      <w:r>
        <w:rPr>
          <w:rFonts w:cs="Times New Roman"/>
        </w:rPr>
        <w:t xml:space="preserve"> </w:t>
      </w:r>
      <w:hyperlink r:id="rId5" w:history="1">
        <w:r w:rsidRPr="007E5A22">
          <w:rPr>
            <w:rStyle w:val="Hypertextovodkaz"/>
            <w:rFonts w:cs="Times New Roman"/>
          </w:rPr>
          <w:t>http://www.sclpx.eu/lab2R.php?exp=8</w:t>
        </w:r>
      </w:hyperlink>
      <w:r>
        <w:rPr>
          <w:rFonts w:cs="Times New Roman"/>
        </w:rPr>
        <w:t xml:space="preserve"> </w:t>
      </w:r>
    </w:p>
    <w:p w:rsidR="005C4426" w:rsidRPr="00E02DF4" w:rsidRDefault="005C4426" w:rsidP="005C4426">
      <w:pPr>
        <w:pStyle w:val="Bntextrga"/>
        <w:spacing w:line="360" w:lineRule="auto"/>
        <w:jc w:val="both"/>
        <w:rPr>
          <w:b/>
        </w:rPr>
      </w:pPr>
      <w:r w:rsidRPr="00E02DF4">
        <w:rPr>
          <w:b/>
        </w:rPr>
        <w:t>Úvod</w:t>
      </w:r>
    </w:p>
    <w:p w:rsidR="005C4426" w:rsidRDefault="005C4426" w:rsidP="005C4426">
      <w:pPr>
        <w:pStyle w:val="Bntextrga"/>
        <w:spacing w:line="360" w:lineRule="auto"/>
        <w:jc w:val="both"/>
      </w:pPr>
      <w:r w:rsidRPr="00395A3C">
        <w:t>Při určení hodnoty tíhové zrychlení z periody kmitů kyvadla</w:t>
      </w:r>
      <w:r>
        <w:t xml:space="preserve"> o délce </w:t>
      </w:r>
      <w:r>
        <w:rPr>
          <w:i/>
        </w:rPr>
        <w:t>l</w:t>
      </w:r>
      <w:r w:rsidRPr="00395A3C">
        <w:t xml:space="preserve"> vycházíme ze známého vztahu </w:t>
      </w:r>
      <w:r>
        <w:t xml:space="preserve">(2.4.1) </w:t>
      </w:r>
      <w:r w:rsidRPr="00395A3C">
        <w:t>pro peri</w:t>
      </w:r>
      <w:r>
        <w:t>odu kmitů matematického kyvadla:</w:t>
      </w:r>
    </w:p>
    <w:p w:rsidR="005C4426" w:rsidRPr="004B0F14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T=2</m:t>
          </m:r>
          <m:r>
            <m:rPr>
              <m:sty m:val="p"/>
            </m:rPr>
            <w:rPr>
              <w:rFonts w:ascii="Cambria Math" w:hAnsi="Cambria Math"/>
            </w:rPr>
            <m:t>π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 xml:space="preserve">                                                            (2.4.1)</m:t>
          </m:r>
        </m:oMath>
      </m:oMathPara>
    </w:p>
    <w:p w:rsidR="005C4426" w:rsidRPr="00DB6C91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Z předchozího vztahu můžeme pak vyjádřit tíhové zrychlení </w:t>
      </w:r>
      <w:r>
        <w:rPr>
          <w:rFonts w:eastAsiaTheme="minorEastAsia"/>
          <w:i/>
        </w:rPr>
        <w:t>g</w:t>
      </w:r>
      <w:r>
        <w:rPr>
          <w:rFonts w:eastAsiaTheme="minorEastAsia"/>
        </w:rPr>
        <w:t xml:space="preserve">: </w:t>
      </w:r>
    </w:p>
    <w:p w:rsidR="005C4426" w:rsidRPr="00CE1B4B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</w:rPr>
            <m:t>g=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                                                             (2.4.2)</m:t>
          </m:r>
        </m:oMath>
      </m:oMathPara>
    </w:p>
    <w:p w:rsidR="005C4426" w:rsidRPr="00CE1B4B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Tento vztah (2.4.2) využijeme při vlastní realizaci experimentu k výpočtu hodnot </w:t>
      </w:r>
      <w:r>
        <w:rPr>
          <w:rFonts w:eastAsiaTheme="minorEastAsia"/>
          <w:i/>
        </w:rPr>
        <w:t>g</w:t>
      </w:r>
      <w:r>
        <w:rPr>
          <w:rFonts w:eastAsiaTheme="minorEastAsia"/>
        </w:rPr>
        <w:t>.</w:t>
      </w:r>
    </w:p>
    <w:p w:rsidR="005C4426" w:rsidRDefault="005C4426" w:rsidP="005C4426">
      <w:pPr>
        <w:pStyle w:val="Bntextrga"/>
        <w:spacing w:line="360" w:lineRule="auto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Připomeňme málo známou skutečnost, že vztah (2.4.1) platí jen pro malé výchylky kyvadla, přibližně do </w:t>
      </w:r>
      <m:oMath>
        <m:r>
          <w:rPr>
            <w:rFonts w:ascii="Cambria Math" w:eastAsiaTheme="minorEastAsia" w:hAnsi="Cambria Math"/>
          </w:rPr>
          <m:t>φ&lt;5°</m:t>
        </m:r>
      </m:oMath>
      <w:r>
        <w:rPr>
          <w:rFonts w:eastAsiaTheme="minorEastAsia"/>
        </w:rPr>
        <w:t>, jak uvádí např. [39],</w:t>
      </w:r>
      <w:r w:rsidR="001414F0">
        <w:rPr>
          <w:rFonts w:eastAsiaTheme="minorEastAsia"/>
        </w:rPr>
        <w:t xml:space="preserve"> </w:t>
      </w:r>
      <w:r w:rsidRPr="005C4426">
        <w:rPr>
          <w:rFonts w:eastAsiaTheme="minorEastAsia"/>
        </w:rPr>
        <w:t xml:space="preserve">[44]. </w:t>
      </w:r>
      <w:r>
        <w:rPr>
          <w:rFonts w:eastAsiaTheme="minorEastAsia"/>
        </w:rPr>
        <w:t xml:space="preserve">Pro větší velikosti výchylky platí složitější vztah (2.4.3), který je odvozen na základě řešení diferenciální rovnice </w:t>
      </w:r>
      <w:r w:rsidRPr="005C4426">
        <w:rPr>
          <w:rFonts w:eastAsiaTheme="minorEastAsia"/>
        </w:rPr>
        <w:t>[21]:</w:t>
      </w:r>
    </w:p>
    <w:p w:rsidR="005C4426" w:rsidRPr="008502E2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</w:rPr>
            <m:t>T=2</m:t>
          </m:r>
          <m:r>
            <m:rPr>
              <m:sty m:val="p"/>
            </m:rPr>
            <w:rPr>
              <w:rFonts w:ascii="Cambria Math" w:hAnsi="Cambria Math" w:cs="Times New Roman"/>
            </w:rPr>
            <m:t>π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g</m:t>
                  </m:r>
                </m:den>
              </m:f>
            </m:e>
          </m:ra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1∙3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2∙4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sup>
                      </m:sSup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m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>+…</m:t>
                      </m:r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</w:rPr>
            <m:t>,                      (2.4.3)</m:t>
          </m:r>
        </m:oMath>
      </m:oMathPara>
    </w:p>
    <w:p w:rsidR="005C4426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kde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je velikost amplitudy úhlové výchylky.</w:t>
      </w:r>
    </w:p>
    <w:p w:rsidR="005C4426" w:rsidRPr="00D4608F" w:rsidRDefault="005C4426" w:rsidP="005C4426">
      <w:pPr>
        <w:pStyle w:val="Bntextrga"/>
        <w:spacing w:line="360" w:lineRule="auto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Zajímavá je také</w:t>
      </w:r>
      <w:r w:rsidRPr="00D4608F">
        <w:rPr>
          <w:rFonts w:eastAsiaTheme="minorEastAsia"/>
        </w:rPr>
        <w:t xml:space="preserve"> z didaktického hlediska myšlenka, že v praxi se velice obtížně měří délka závěsu, což autoři obchází dvojím měřením s různou délkou kyvadla, ale s přesně známou hodnotou </w:t>
      </w:r>
      <w:r w:rsidRPr="00D4608F">
        <w:rPr>
          <w:rFonts w:eastAsiaTheme="minorEastAsia"/>
          <w:i/>
        </w:rPr>
        <w:t>d</w:t>
      </w:r>
      <w:r w:rsidRPr="00D4608F">
        <w:rPr>
          <w:rFonts w:eastAsiaTheme="minorEastAsia"/>
        </w:rPr>
        <w:t xml:space="preserve"> jeho zkrácení. Dospívají k řešení, že pokud platí pro doby kyvu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τ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D4608F">
        <w:rPr>
          <w:rFonts w:eastAsiaTheme="minorEastAsia"/>
        </w:rPr>
        <w:t xml:space="preserve">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τ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D4608F">
        <w:rPr>
          <w:rFonts w:eastAsiaTheme="minorEastAsia"/>
        </w:rPr>
        <w:t xml:space="preserve">následující vztahy </w:t>
      </w:r>
      <w:r>
        <w:rPr>
          <w:rFonts w:eastAsiaTheme="minorEastAsia"/>
        </w:rPr>
        <w:t>(2.4.4</w:t>
      </w:r>
      <w:r w:rsidRPr="00D4608F">
        <w:rPr>
          <w:rFonts w:eastAsiaTheme="minorEastAsia"/>
        </w:rPr>
        <w:t>), pla</w:t>
      </w:r>
      <w:r>
        <w:rPr>
          <w:rFonts w:eastAsiaTheme="minorEastAsia"/>
        </w:rPr>
        <w:t>tí i z nich odvozený vztah (2.4.5</w:t>
      </w:r>
      <w:r w:rsidRPr="00D4608F">
        <w:rPr>
          <w:rFonts w:eastAsiaTheme="minorEastAsia"/>
        </w:rPr>
        <w:t xml:space="preserve">), který již není na délce kyvadla </w:t>
      </w:r>
      <w:r w:rsidRPr="00D4608F">
        <w:rPr>
          <w:rFonts w:eastAsiaTheme="minorEastAsia"/>
          <w:i/>
        </w:rPr>
        <w:t>l</w:t>
      </w:r>
      <w:r w:rsidRPr="00D4608F">
        <w:rPr>
          <w:rFonts w:eastAsiaTheme="minorEastAsia"/>
        </w:rPr>
        <w:t xml:space="preserve"> </w:t>
      </w:r>
      <w:r>
        <w:rPr>
          <w:rFonts w:eastAsiaTheme="minorEastAsia"/>
        </w:rPr>
        <w:t>závislý:</w:t>
      </w:r>
    </w:p>
    <w:p w:rsidR="005C4426" w:rsidRPr="00D4608F" w:rsidRDefault="005C30BD" w:rsidP="005C4426">
      <w:pPr>
        <w:pStyle w:val="Bntextrga"/>
        <w:spacing w:line="360" w:lineRule="auto"/>
        <w:jc w:val="both"/>
        <w:rPr>
          <w:rFonts w:eastAsiaTheme="minorEastAsi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τ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 xml:space="preserve">  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τ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l-d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 xml:space="preserve">                                              (2.4.4)</m:t>
          </m:r>
        </m:oMath>
      </m:oMathPara>
    </w:p>
    <w:p w:rsidR="005C4426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</w:p>
    <w:p w:rsidR="005C4426" w:rsidRPr="00D4608F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w:r w:rsidRPr="00D4608F">
        <w:rPr>
          <w:rFonts w:eastAsiaTheme="minorEastAsia"/>
        </w:rPr>
        <w:lastRenderedPageBreak/>
        <w:t>Umocněním obou rovnic a jejich vzájemným odečtením po úpravách dostaneme</w:t>
      </w:r>
      <w:r>
        <w:rPr>
          <w:rFonts w:eastAsiaTheme="minorEastAsia"/>
        </w:rPr>
        <w:t>:</w:t>
      </w:r>
    </w:p>
    <w:p w:rsidR="005C4426" w:rsidRPr="00365B51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</w:rPr>
            <m:t>g=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</m:t>
              </m:r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</w:rPr>
            <m:t xml:space="preserve">                                                            (2.4.5)</m:t>
          </m:r>
        </m:oMath>
      </m:oMathPara>
    </w:p>
    <w:p w:rsidR="005C4426" w:rsidRDefault="005C4426" w:rsidP="005C442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Pomůcky:</w:t>
      </w:r>
      <w:r>
        <w:rPr>
          <w:rFonts w:eastAsiaTheme="minorEastAsia"/>
          <w:szCs w:val="24"/>
        </w:rPr>
        <w:t xml:space="preserve"> monogate, provázek, kovový váleček, dřevěná tyč, délkové měřidlo, stativový materiál</w:t>
      </w:r>
    </w:p>
    <w:p w:rsidR="005C4426" w:rsidRDefault="005C4426" w:rsidP="005C4426">
      <w:pPr>
        <w:pStyle w:val="Bntextrga"/>
        <w:tabs>
          <w:tab w:val="left" w:pos="709"/>
        </w:tabs>
        <w:spacing w:line="36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5C4426" w:rsidRDefault="005C4426" w:rsidP="005C442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Uspořádání experimentu je na obrázku 2.4.1. Z provázku a válečku vyrobíme kyvadlo, které zavěsíme na dřevěnou tyč upevněnou k laboratornímu stojanu. Monogate nastavíme v horizontální poloze tak, aby v rovnovážné poloze kyvadla mířil laserový paprsek na střed válečku, viz detail vpravo nahoře na obrázku 2.4.1.</w:t>
      </w:r>
    </w:p>
    <w:p w:rsidR="005C4426" w:rsidRPr="005B7BE7" w:rsidRDefault="005C4426" w:rsidP="005C4426">
      <w:pPr>
        <w:pStyle w:val="Bntextrga"/>
        <w:spacing w:line="360" w:lineRule="auto"/>
        <w:ind w:firstLine="708"/>
        <w:jc w:val="both"/>
        <w:rPr>
          <w:rFonts w:eastAsiaTheme="minorEastAsia"/>
        </w:rPr>
      </w:pPr>
      <w:r>
        <w:rPr>
          <w:rFonts w:eastAsiaTheme="minorEastAsia"/>
          <w:szCs w:val="24"/>
        </w:rPr>
        <w:t xml:space="preserve">V klidové poloze změříme délkovým měřidlem délku kyvadla od místa uchycení ke středu válečku. </w:t>
      </w:r>
      <w:r w:rsidRPr="00F61E14">
        <w:rPr>
          <w:rFonts w:eastAsiaTheme="minorEastAsia"/>
          <w:szCs w:val="24"/>
        </w:rPr>
        <w:t>Vychýlíme kyvadlo z rovnovážné polohy přibližně o 5</w:t>
      </w:r>
      <w:r w:rsidRPr="00F61E14">
        <w:rPr>
          <w:rFonts w:eastAsiaTheme="minorEastAsia"/>
          <w:szCs w:val="24"/>
          <w:vertAlign w:val="superscript"/>
        </w:rPr>
        <w:t>o</w:t>
      </w:r>
      <w:r w:rsidRPr="00F61E14">
        <w:rPr>
          <w:rFonts w:eastAsiaTheme="minorEastAsia"/>
          <w:szCs w:val="24"/>
        </w:rPr>
        <w:t xml:space="preserve">, spustíme </w:t>
      </w:r>
      <w:r>
        <w:rPr>
          <w:rFonts w:eastAsiaTheme="minorEastAsia"/>
          <w:szCs w:val="24"/>
        </w:rPr>
        <w:t xml:space="preserve">ve FAE </w:t>
      </w:r>
      <w:r w:rsidRPr="00F61E14">
        <w:rPr>
          <w:rFonts w:eastAsiaTheme="minorEastAsia"/>
          <w:szCs w:val="24"/>
        </w:rPr>
        <w:t xml:space="preserve">měření zvukového záznamu tlačítkem </w:t>
      </w:r>
      <w:proofErr w:type="spellStart"/>
      <w:r w:rsidRPr="00F61E14">
        <w:rPr>
          <w:rFonts w:eastAsiaTheme="minorEastAsia"/>
          <w:i/>
          <w:szCs w:val="24"/>
        </w:rPr>
        <w:t>Record</w:t>
      </w:r>
      <w:proofErr w:type="spellEnd"/>
      <w:r w:rsidRPr="00F61E14">
        <w:rPr>
          <w:rFonts w:eastAsiaTheme="minorEastAsia"/>
          <w:szCs w:val="24"/>
        </w:rPr>
        <w:t xml:space="preserve"> a necháme kyvadlo kývat cca 15 až 20 sekund. </w:t>
      </w:r>
      <w:r>
        <w:rPr>
          <w:rFonts w:eastAsiaTheme="minorEastAsia"/>
          <w:szCs w:val="24"/>
        </w:rPr>
        <w:t xml:space="preserve">Průběh signálu můžeme vidět na obrázku 2.4.2. Signál zvětšíme, určíme hodnotu periody a ze vztahu (2.4.2) vypočítáme hodnotu tíhového zrychlení </w:t>
      </w:r>
      <w:r>
        <w:rPr>
          <w:rFonts w:eastAsiaTheme="minorEastAsia"/>
          <w:i/>
          <w:szCs w:val="24"/>
        </w:rPr>
        <w:t>g</w:t>
      </w:r>
      <w:r>
        <w:rPr>
          <w:rFonts w:eastAsiaTheme="minorEastAsia"/>
          <w:szCs w:val="24"/>
        </w:rPr>
        <w:t>. Experiment opakovaně provedeme pro různé délky kyvadla.</w:t>
      </w:r>
    </w:p>
    <w:p w:rsidR="005C4426" w:rsidRDefault="007F1DF7" w:rsidP="005C4426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  <w:noProof/>
          <w:lang w:eastAsia="cs-CZ"/>
        </w:rPr>
        <w:br/>
      </w:r>
      <w:r w:rsidR="005C4426">
        <w:rPr>
          <w:rFonts w:eastAsiaTheme="minorEastAsia"/>
          <w:noProof/>
          <w:lang w:eastAsia="cs-CZ"/>
        </w:rPr>
        <w:drawing>
          <wp:inline distT="0" distB="0" distL="0" distR="0" wp14:anchorId="52DAB8C8" wp14:editId="2BEFB6EF">
            <wp:extent cx="5760085" cy="3239770"/>
            <wp:effectExtent l="0" t="0" r="0" b="0"/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4_urceni_g_kmity_kyvad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426" w:rsidRPr="007A2BCA" w:rsidRDefault="005C4426" w:rsidP="005C4426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2.4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1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Uspořádání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 w:rsidRPr="0001691E">
        <w:rPr>
          <w:rFonts w:eastAsiaTheme="minorEastAsia"/>
          <w:i/>
          <w:sz w:val="20"/>
          <w:szCs w:val="20"/>
        </w:rPr>
        <w:t>g</w:t>
      </w:r>
      <w:r>
        <w:rPr>
          <w:rFonts w:eastAsiaTheme="minorEastAsia"/>
          <w:sz w:val="20"/>
          <w:szCs w:val="20"/>
        </w:rPr>
        <w:t xml:space="preserve"> z periody kmitů kyvadla</w:t>
      </w:r>
    </w:p>
    <w:p w:rsidR="005C4426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  <w:noProof/>
          <w:lang w:eastAsia="cs-CZ"/>
        </w:rPr>
        <w:lastRenderedPageBreak/>
        <w:drawing>
          <wp:inline distT="0" distB="0" distL="0" distR="0" wp14:anchorId="2649C658" wp14:editId="774AD770">
            <wp:extent cx="5760085" cy="3239770"/>
            <wp:effectExtent l="0" t="0" r="0" b="0"/>
            <wp:docPr id="61" name="Obráze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4_oscilogram_kmity_kyvad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426" w:rsidRPr="007A2BCA" w:rsidRDefault="005C4426" w:rsidP="005C4426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2.4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2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Oscilogram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 w:rsidRPr="0001691E">
        <w:rPr>
          <w:rFonts w:eastAsiaTheme="minorEastAsia"/>
          <w:i/>
          <w:sz w:val="20"/>
          <w:szCs w:val="20"/>
        </w:rPr>
        <w:t>g</w:t>
      </w:r>
      <w:r>
        <w:rPr>
          <w:rFonts w:eastAsiaTheme="minorEastAsia"/>
          <w:sz w:val="20"/>
          <w:szCs w:val="20"/>
        </w:rPr>
        <w:t xml:space="preserve"> z periody kmitů kyvadla – modře vyznačená perioda</w:t>
      </w:r>
    </w:p>
    <w:p w:rsidR="005C4426" w:rsidRDefault="007F1DF7" w:rsidP="005C4426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br/>
      </w:r>
      <w:r w:rsidR="005C4426">
        <w:rPr>
          <w:rFonts w:eastAsiaTheme="minorEastAsia"/>
        </w:rPr>
        <w:t>Jak plyne z obrázku (2.4.2), periodu určujeme mezi prvním a třetím píkem signálu. V případě složitějšího oscilogramu je optimální provést výběr od nulových bodů na časové ose.</w:t>
      </w:r>
    </w:p>
    <w:p w:rsidR="005C4426" w:rsidRDefault="005C4426" w:rsidP="005C4426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>Námi naměřené hodnoty jsou uvedeny v tabulce 2.4.</w:t>
      </w:r>
    </w:p>
    <w:p w:rsidR="005C4426" w:rsidRDefault="005C4426" w:rsidP="005C4426">
      <w:pPr>
        <w:pStyle w:val="Bntextrga"/>
        <w:spacing w:after="0"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Tabulka 2.4</w:t>
      </w:r>
      <w:r>
        <w:rPr>
          <w:rFonts w:eastAsiaTheme="minorEastAsia"/>
          <w:szCs w:val="24"/>
        </w:rPr>
        <w:t xml:space="preserve"> Měření tíhového zrychlení z periody kmitů kyvadla pro různé délky</w:t>
      </w:r>
    </w:p>
    <w:tbl>
      <w:tblPr>
        <w:tblStyle w:val="Mkatabulky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C4426" w:rsidTr="00384E88">
        <w:trPr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5C4426" w:rsidRPr="00F72E9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l</m:t>
              </m:r>
            </m:oMath>
            <w:r>
              <w:rPr>
                <w:rFonts w:eastAsiaTheme="minorEastAsia"/>
              </w:rPr>
              <w:t xml:space="preserve"> (m)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5C4426" w:rsidRPr="003F686C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T</w:t>
            </w:r>
            <w:r>
              <w:rPr>
                <w:rFonts w:eastAsiaTheme="minorEastAsia"/>
              </w:rPr>
              <w:t xml:space="preserve"> (s)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g</w:t>
            </w:r>
            <w:r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sup>
              </m:sSup>
            </m:oMath>
            <w:r>
              <w:rPr>
                <w:rFonts w:eastAsiaTheme="minorEastAsia"/>
              </w:rPr>
              <w:t>)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0,20 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0,906 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9,61 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0,20 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0,903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9,67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0,20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0,902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9,69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0,20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0,907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9,59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0,38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1,255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9,52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0,38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1,252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9,56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0,38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1,232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9,87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0,38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1,264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9,38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0,50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1,419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9,79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0,50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1,425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9,71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0,50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1,422</w:t>
            </w:r>
          </w:p>
        </w:tc>
        <w:tc>
          <w:tcPr>
            <w:tcW w:w="1278" w:type="dxa"/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9,75</w:t>
            </w:r>
          </w:p>
        </w:tc>
      </w:tr>
      <w:tr w:rsidR="005C4426" w:rsidTr="00384E88">
        <w:trPr>
          <w:jc w:val="center"/>
        </w:trPr>
        <w:tc>
          <w:tcPr>
            <w:tcW w:w="127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1,422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C4426" w:rsidRDefault="005C4426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9,75</w:t>
            </w:r>
          </w:p>
        </w:tc>
      </w:tr>
    </w:tbl>
    <w:p w:rsidR="005C4426" w:rsidRDefault="005C4426" w:rsidP="005C4426">
      <w:pPr>
        <w:pStyle w:val="Bntextrga"/>
        <w:tabs>
          <w:tab w:val="left" w:pos="709"/>
        </w:tabs>
        <w:spacing w:line="360" w:lineRule="auto"/>
      </w:pPr>
    </w:p>
    <w:p w:rsidR="005C4426" w:rsidRPr="00D94587" w:rsidRDefault="005C4426" w:rsidP="005C442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Absolutní </w:t>
      </w:r>
      <w:r w:rsidR="00642E79">
        <w:rPr>
          <w:rFonts w:eastAsiaTheme="minorEastAsia"/>
          <w:szCs w:val="24"/>
        </w:rPr>
        <w:t>nejistotu</w:t>
      </w:r>
      <w:r>
        <w:rPr>
          <w:rFonts w:eastAsiaTheme="minorEastAsia"/>
          <w:szCs w:val="24"/>
        </w:rPr>
        <w:t xml:space="preserve"> v určení tíhového zrychlení </w:t>
      </w:r>
      <m:oMath>
        <m:r>
          <w:rPr>
            <w:rFonts w:ascii="Cambria Math" w:eastAsiaTheme="minorEastAsia" w:hAnsi="Cambria Math"/>
            <w:szCs w:val="24"/>
          </w:rPr>
          <m:t>g</m:t>
        </m:r>
      </m:oMath>
      <w:r w:rsidRPr="00C830E9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vypočítáme</w:t>
      </w:r>
      <w:r w:rsidRPr="00C830E9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pomocí analytických nástrojů MS Excel ze vztahu (2.4.6</w:t>
      </w:r>
      <w:r w:rsidRPr="00C830E9">
        <w:rPr>
          <w:rFonts w:eastAsiaTheme="minorEastAsia"/>
          <w:szCs w:val="24"/>
        </w:rPr>
        <w:t>),</w:t>
      </w:r>
      <w:r>
        <w:rPr>
          <w:rFonts w:eastAsiaTheme="minorEastAsia"/>
          <w:szCs w:val="24"/>
        </w:rPr>
        <w:t xml:space="preserve"> který lze za předpokladu přesného určení délky kyvadla </w:t>
      </w:r>
      <w:r>
        <w:rPr>
          <w:rFonts w:eastAsiaTheme="minorEastAsia"/>
          <w:i/>
          <w:szCs w:val="24"/>
        </w:rPr>
        <w:t>l</w:t>
      </w:r>
      <w:r>
        <w:rPr>
          <w:rFonts w:eastAsiaTheme="minorEastAsia"/>
          <w:szCs w:val="24"/>
        </w:rPr>
        <w:t xml:space="preserve"> zjednodušit na tvar (2.4.7): </w:t>
      </w:r>
    </w:p>
    <w:p w:rsidR="005C4426" w:rsidRPr="00216921" w:rsidRDefault="005C4426" w:rsidP="005C4426">
      <w:pPr>
        <w:pStyle w:val="Bntextrga"/>
        <w:spacing w:line="360" w:lineRule="auto"/>
        <w:jc w:val="center"/>
        <w:rPr>
          <w:rFonts w:eastAsiaTheme="minorEastAsia"/>
          <w:szCs w:val="24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szCs w:val="24"/>
            </w:rPr>
            <m:t>∆g=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Cs w:val="24"/>
                </w:rPr>
                <m:t>g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2∆T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T</m:t>
                      </m:r>
                    </m:e>
                  </m:acc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∆l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l</m:t>
                      </m:r>
                    </m:e>
                  </m:acc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 xml:space="preserve">                                                      (2.4.6)</m:t>
          </m:r>
        </m:oMath>
      </m:oMathPara>
    </w:p>
    <w:p w:rsidR="005C4426" w:rsidRPr="006C1096" w:rsidRDefault="005C4426" w:rsidP="005C4426">
      <w:pPr>
        <w:pStyle w:val="Bntextrga"/>
        <w:tabs>
          <w:tab w:val="left" w:pos="709"/>
        </w:tabs>
        <w:spacing w:line="360" w:lineRule="auto"/>
        <w:rPr>
          <w:rFonts w:eastAsiaTheme="minorEastAsia"/>
          <w:szCs w:val="24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szCs w:val="24"/>
            </w:rPr>
            <m:t>∆g=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Cs w:val="24"/>
                </w:rPr>
                <m:t>g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2∆T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T</m:t>
                      </m:r>
                    </m:e>
                  </m:acc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 xml:space="preserve">                                                        (2.4.7)</m:t>
          </m:r>
        </m:oMath>
      </m:oMathPara>
    </w:p>
    <w:p w:rsidR="005C4426" w:rsidRPr="00E32E2D" w:rsidRDefault="003F2BDE" w:rsidP="005C4426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>Pokud použijeme k výpočtu nejistot</w:t>
      </w:r>
      <w:r w:rsidR="005C4426">
        <w:rPr>
          <w:rFonts w:eastAsiaTheme="minorEastAsia"/>
        </w:rPr>
        <w:t xml:space="preserve"> měření vztahy (2.4.6)</w:t>
      </w:r>
      <w:r>
        <w:rPr>
          <w:rFonts w:eastAsiaTheme="minorEastAsia"/>
        </w:rPr>
        <w:t xml:space="preserve"> nebo (2.4.7), musíme tyto nejistoty</w:t>
      </w:r>
      <w:r w:rsidR="005C4426">
        <w:rPr>
          <w:rFonts w:eastAsiaTheme="minorEastAsia"/>
        </w:rPr>
        <w:t xml:space="preserve"> počítat zvlášť pro danou délku kyvadla. </w:t>
      </w:r>
    </w:p>
    <w:p w:rsidR="005C4426" w:rsidRDefault="005C4426" w:rsidP="005C4426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Na závěr </w:t>
      </w:r>
      <w:r w:rsidRPr="00E377E6">
        <w:rPr>
          <w:rFonts w:eastAsiaTheme="minorEastAsia"/>
          <w:szCs w:val="24"/>
        </w:rPr>
        <w:t xml:space="preserve">vytvoříme graf závislosti </w:t>
      </w:r>
      <w:r w:rsidR="003F2BDE">
        <w:rPr>
          <w:rFonts w:eastAsiaTheme="minorEastAsia"/>
          <w:szCs w:val="24"/>
        </w:rPr>
        <w:t>periody na délce kyvadla.</w:t>
      </w:r>
      <w:r w:rsidRPr="00E377E6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G</w:t>
      </w:r>
      <w:r w:rsidRPr="00E377E6">
        <w:rPr>
          <w:rFonts w:eastAsiaTheme="minorEastAsia"/>
          <w:szCs w:val="24"/>
        </w:rPr>
        <w:t>raf vy</w:t>
      </w:r>
      <w:r>
        <w:rPr>
          <w:rFonts w:eastAsiaTheme="minorEastAsia"/>
          <w:szCs w:val="24"/>
        </w:rPr>
        <w:t>tvořený na základě tabulky 2.4 je na obrázku 2.4.3</w:t>
      </w:r>
      <w:r w:rsidRPr="00E377E6">
        <w:rPr>
          <w:rFonts w:eastAsiaTheme="minorEastAsia"/>
          <w:szCs w:val="24"/>
        </w:rPr>
        <w:t>.</w:t>
      </w:r>
    </w:p>
    <w:p w:rsidR="00FF708B" w:rsidRDefault="00FF708B" w:rsidP="005C4426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</w:p>
    <w:p w:rsidR="005C4426" w:rsidRPr="00541463" w:rsidRDefault="00541463" w:rsidP="005C442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noProof/>
          <w:lang w:eastAsia="cs-CZ"/>
        </w:rPr>
        <w:drawing>
          <wp:inline distT="0" distB="0" distL="0" distR="0" wp14:anchorId="72E70BEE" wp14:editId="24C19728">
            <wp:extent cx="5760000" cy="3240000"/>
            <wp:effectExtent l="0" t="0" r="12700" b="177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1463" w:rsidRPr="005704AA" w:rsidRDefault="00541463" w:rsidP="00541463">
      <w:pPr>
        <w:pStyle w:val="Bntextrga"/>
        <w:spacing w:line="360" w:lineRule="auto"/>
        <w:jc w:val="center"/>
        <w:rPr>
          <w:rFonts w:eastAsiaTheme="minorEastAsia"/>
          <w:szCs w:val="24"/>
        </w:rPr>
      </w:pPr>
      <w:r>
        <w:rPr>
          <w:rFonts w:eastAsiaTheme="minorEastAsia"/>
          <w:sz w:val="20"/>
          <w:szCs w:val="20"/>
        </w:rPr>
        <w:t>Obr. 2.4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3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Graf závislosti periody na délce kyvadla</w:t>
      </w:r>
      <w:r w:rsidRPr="007A2BCA">
        <w:rPr>
          <w:rFonts w:eastAsiaTheme="minorEastAsia"/>
          <w:sz w:val="20"/>
          <w:szCs w:val="20"/>
        </w:rPr>
        <w:t xml:space="preserve"> – Měření </w:t>
      </w:r>
      <w:r w:rsidRPr="0001691E">
        <w:rPr>
          <w:rFonts w:eastAsiaTheme="minorEastAsia"/>
          <w:i/>
          <w:sz w:val="20"/>
          <w:szCs w:val="20"/>
        </w:rPr>
        <w:t>g</w:t>
      </w:r>
      <w:r>
        <w:rPr>
          <w:rFonts w:eastAsiaTheme="minorEastAsia"/>
          <w:sz w:val="20"/>
          <w:szCs w:val="20"/>
        </w:rPr>
        <w:t xml:space="preserve"> z periody kmitů kyvadla</w:t>
      </w:r>
    </w:p>
    <w:p w:rsidR="00FF708B" w:rsidRDefault="00FF708B" w:rsidP="00541463">
      <w:pPr>
        <w:pStyle w:val="Bntextrga"/>
        <w:spacing w:line="360" w:lineRule="auto"/>
        <w:jc w:val="both"/>
      </w:pPr>
    </w:p>
    <w:p w:rsidR="00541463" w:rsidRDefault="00541463" w:rsidP="00541463">
      <w:pPr>
        <w:pStyle w:val="Bntextrga"/>
        <w:spacing w:line="360" w:lineRule="auto"/>
        <w:jc w:val="both"/>
      </w:pPr>
      <w:bookmarkStart w:id="1" w:name="_GoBack"/>
      <w:bookmarkEnd w:id="1"/>
      <w:r>
        <w:t xml:space="preserve">Nalezená grafická závislost odpovídá mocninnému vztahu (2.4.1) mezi </w:t>
      </w:r>
      <w:r>
        <w:rPr>
          <w:i/>
        </w:rPr>
        <w:t>T</w:t>
      </w:r>
      <w:r>
        <w:t xml:space="preserve"> a </w:t>
      </w:r>
      <w:r>
        <w:rPr>
          <w:i/>
        </w:rPr>
        <w:t>l</w:t>
      </w:r>
      <w:r>
        <w:t xml:space="preserve">. Hodnota exponentu v regresní mocninné funkci je </w:t>
      </w:r>
      <m:oMath>
        <m:r>
          <w:rPr>
            <w:rFonts w:ascii="Cambria Math" w:hAnsi="Cambria Math"/>
          </w:rPr>
          <m:t>0,4958≅0,5</m:t>
        </m:r>
      </m:oMath>
      <w:r>
        <w:rPr>
          <w:rFonts w:eastAsiaTheme="minorEastAsia"/>
        </w:rPr>
        <w:t>.</w:t>
      </w:r>
    </w:p>
    <w:p w:rsidR="00541463" w:rsidRDefault="00541463" w:rsidP="005C4426">
      <w:pPr>
        <w:pStyle w:val="Bntextrga"/>
        <w:tabs>
          <w:tab w:val="left" w:pos="709"/>
        </w:tabs>
        <w:spacing w:line="360" w:lineRule="auto"/>
        <w:jc w:val="both"/>
        <w:rPr>
          <w:b/>
        </w:rPr>
      </w:pPr>
    </w:p>
    <w:p w:rsidR="005C4426" w:rsidRPr="00B34DD5" w:rsidRDefault="005C4426" w:rsidP="005C4426">
      <w:pPr>
        <w:pStyle w:val="Bntextrga"/>
        <w:tabs>
          <w:tab w:val="left" w:pos="709"/>
        </w:tabs>
        <w:spacing w:line="360" w:lineRule="auto"/>
        <w:jc w:val="both"/>
        <w:rPr>
          <w:b/>
        </w:rPr>
      </w:pPr>
      <w:r w:rsidRPr="00B34DD5">
        <w:rPr>
          <w:b/>
        </w:rPr>
        <w:lastRenderedPageBreak/>
        <w:t>Závěr</w:t>
      </w:r>
    </w:p>
    <w:p w:rsidR="005C4426" w:rsidRDefault="005C4426" w:rsidP="005C4426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 w:rsidRPr="00A4357F">
        <w:rPr>
          <w:rFonts w:eastAsiaTheme="minorEastAsia"/>
          <w:szCs w:val="24"/>
        </w:rPr>
        <w:t xml:space="preserve">Průměrná hodnota </w:t>
      </w:r>
      <w:r>
        <w:rPr>
          <w:rFonts w:eastAsiaTheme="minorEastAsia"/>
          <w:szCs w:val="24"/>
        </w:rPr>
        <w:t xml:space="preserve">tíhového zrychlení určená z hodnot v tabulce 2.4 má velikost </w:t>
      </w:r>
      <w:r>
        <w:rPr>
          <w:rFonts w:eastAsiaTheme="minorEastAsia"/>
          <w:szCs w:val="24"/>
        </w:rPr>
        <w:br/>
      </w:r>
      <m:oMath>
        <m:r>
          <w:rPr>
            <w:rFonts w:ascii="Cambria Math" w:eastAsiaTheme="minorEastAsia" w:hAnsi="Cambria Math"/>
            <w:szCs w:val="24"/>
          </w:rPr>
          <m:t>g=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9,66±0,04</m:t>
            </m:r>
          </m:e>
        </m:d>
      </m:oMath>
      <w:r w:rsidRPr="00A4357F">
        <w:rPr>
          <w:rFonts w:eastAsiaTheme="minorEastAsia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m∙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r w:rsidRPr="00A4357F">
        <w:rPr>
          <w:rFonts w:eastAsiaTheme="minorEastAsia"/>
          <w:szCs w:val="24"/>
        </w:rPr>
        <w:t xml:space="preserve">. Relativní </w:t>
      </w:r>
      <w:r w:rsidR="00642E79">
        <w:rPr>
          <w:rFonts w:eastAsiaTheme="minorEastAsia"/>
          <w:szCs w:val="24"/>
        </w:rPr>
        <w:t>nejistota</w:t>
      </w:r>
      <w:r w:rsidRPr="00A4357F">
        <w:rPr>
          <w:rFonts w:eastAsiaTheme="minorEastAsia"/>
          <w:szCs w:val="24"/>
        </w:rPr>
        <w:t xml:space="preserve"> měření je </w:t>
      </w:r>
      <m:oMath>
        <m:r>
          <w:rPr>
            <w:rFonts w:ascii="Cambria Math" w:eastAsiaTheme="minorEastAsia" w:hAnsi="Cambria Math"/>
            <w:szCs w:val="24"/>
          </w:rPr>
          <m:t>δg=0,00414≐1</m:t>
        </m:r>
      </m:oMath>
      <w:r w:rsidRPr="00A4357F">
        <w:rPr>
          <w:rFonts w:eastAsiaTheme="minorEastAsia"/>
          <w:szCs w:val="24"/>
        </w:rPr>
        <w:t xml:space="preserve"> %, což </w:t>
      </w:r>
      <w:r>
        <w:rPr>
          <w:rFonts w:eastAsiaTheme="minorEastAsia"/>
          <w:szCs w:val="24"/>
        </w:rPr>
        <w:t>je v případě měření ve školní laboratoři výborný výsledek</w:t>
      </w:r>
      <w:r w:rsidRPr="00A4357F">
        <w:rPr>
          <w:rFonts w:eastAsiaTheme="minorEastAsia"/>
          <w:szCs w:val="24"/>
        </w:rPr>
        <w:t>.</w:t>
      </w:r>
      <w:r>
        <w:rPr>
          <w:rFonts w:eastAsiaTheme="minorEastAsia"/>
          <w:szCs w:val="24"/>
        </w:rPr>
        <w:t xml:space="preserve"> Průměrná hodnota je v dobrém souladu s tabulkovou hodnotou </w:t>
      </w:r>
      <m:oMath>
        <m:r>
          <w:rPr>
            <w:rFonts w:ascii="Cambria Math" w:hAnsi="Cambria Math"/>
          </w:rPr>
          <m:t xml:space="preserve">g=9,81 </m:t>
        </m:r>
        <m:r>
          <m:rPr>
            <m:sty m:val="p"/>
          </m:rPr>
          <w:rPr>
            <w:rFonts w:ascii="Cambria Math" w:hAnsi="Cambria Math"/>
          </w:rPr>
          <m:t>m∙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r>
        <w:rPr>
          <w:rFonts w:eastAsiaTheme="minorEastAsia"/>
          <w:szCs w:val="24"/>
        </w:rPr>
        <w:t xml:space="preserve">, přičemž odchylka od standardní hodnoty je 1,5 %. </w:t>
      </w:r>
    </w:p>
    <w:p w:rsidR="005C4426" w:rsidRDefault="005C4426" w:rsidP="005C4426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>Z tabulky 2.4 také plyne dobře známá skutečnost, že při větší délce kyvadla dosáhneme přesnějších výsledků.</w:t>
      </w:r>
    </w:p>
    <w:p w:rsidR="005C4426" w:rsidRDefault="005C4426" w:rsidP="005C4426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br/>
      </w:r>
      <w:r w:rsidRPr="0055352D">
        <w:rPr>
          <w:rFonts w:eastAsiaTheme="minorEastAsia"/>
          <w:b/>
          <w:szCs w:val="24"/>
        </w:rPr>
        <w:t>Otázky na závěr</w:t>
      </w:r>
    </w:p>
    <w:p w:rsidR="005C4426" w:rsidRDefault="005C4426" w:rsidP="005C442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Ze vztahů (2.4.4) odvoďte vztah (2.4.5).  </w:t>
      </w:r>
    </w:p>
    <w:p w:rsidR="005C4426" w:rsidRDefault="005C4426" w:rsidP="005C4426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2. Ze vztahu (2.4.5), který představuje závislost </w:t>
      </w:r>
      <w:r>
        <w:rPr>
          <w:rFonts w:eastAsiaTheme="minorEastAsia"/>
          <w:i/>
          <w:szCs w:val="24"/>
        </w:rPr>
        <w:t>g</w:t>
      </w:r>
      <w:r>
        <w:rPr>
          <w:rFonts w:eastAsiaTheme="minorEastAsia"/>
          <w:szCs w:val="24"/>
        </w:rPr>
        <w:t xml:space="preserve"> na dobách kyvu, odvoďte vztah závislosti </w:t>
      </w:r>
      <w:r>
        <w:rPr>
          <w:rFonts w:eastAsiaTheme="minorEastAsia"/>
          <w:i/>
          <w:szCs w:val="24"/>
        </w:rPr>
        <w:t>g</w:t>
      </w:r>
      <w:r>
        <w:rPr>
          <w:rFonts w:eastAsiaTheme="minorEastAsia"/>
          <w:szCs w:val="24"/>
        </w:rPr>
        <w:t xml:space="preserve"> na periodách </w:t>
      </w:r>
      <w:r>
        <w:rPr>
          <w:rFonts w:eastAsiaTheme="minorEastAsia"/>
          <w:i/>
          <w:szCs w:val="24"/>
        </w:rPr>
        <w:t>T</w:t>
      </w:r>
      <w:r>
        <w:rPr>
          <w:rFonts w:eastAsiaTheme="minorEastAsia"/>
          <w:szCs w:val="24"/>
          <w:vertAlign w:val="subscript"/>
        </w:rPr>
        <w:t>1</w:t>
      </w:r>
      <w:r>
        <w:rPr>
          <w:rFonts w:eastAsiaTheme="minorEastAsia"/>
          <w:szCs w:val="24"/>
        </w:rPr>
        <w:t xml:space="preserve"> a </w:t>
      </w:r>
      <w:r>
        <w:rPr>
          <w:rFonts w:eastAsiaTheme="minorEastAsia"/>
          <w:i/>
          <w:szCs w:val="24"/>
        </w:rPr>
        <w:t>T</w:t>
      </w:r>
      <w:r>
        <w:rPr>
          <w:rFonts w:eastAsiaTheme="minorEastAsia"/>
          <w:szCs w:val="24"/>
          <w:vertAlign w:val="subscript"/>
        </w:rPr>
        <w:t>2</w:t>
      </w:r>
      <w:r>
        <w:rPr>
          <w:rFonts w:eastAsiaTheme="minorEastAsia"/>
          <w:szCs w:val="24"/>
        </w:rPr>
        <w:t xml:space="preserve"> a vztah pro </w:t>
      </w:r>
      <w:r w:rsidR="00642E79">
        <w:rPr>
          <w:rFonts w:eastAsiaTheme="minorEastAsia"/>
          <w:szCs w:val="24"/>
        </w:rPr>
        <w:t>nejistotu</w:t>
      </w:r>
      <w:r>
        <w:rPr>
          <w:rFonts w:eastAsiaTheme="minorEastAsia"/>
          <w:szCs w:val="24"/>
        </w:rPr>
        <w:t xml:space="preserve"> měření analogický vztahu (2.4.6).</w:t>
      </w:r>
    </w:p>
    <w:p w:rsidR="005C4426" w:rsidRDefault="005C4426" w:rsidP="005C4426">
      <w:pPr>
        <w:pStyle w:val="Bntextrga"/>
        <w:spacing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br/>
        <w:t>Poznámky k experimentu</w:t>
      </w:r>
    </w:p>
    <w:p w:rsidR="005C4426" w:rsidRDefault="005C4426" w:rsidP="005C4426">
      <w:pPr>
        <w:pStyle w:val="Bntextrga"/>
        <w:spacing w:line="360" w:lineRule="auto"/>
        <w:ind w:firstLine="709"/>
        <w:jc w:val="both"/>
      </w:pPr>
      <w:r>
        <w:t xml:space="preserve">Tento experiment byl autorem poprvé vyzkoušen nezávisle na jiných autorech, viz např. </w:t>
      </w:r>
      <w:r w:rsidRPr="005C4426">
        <w:t>[88],</w:t>
      </w:r>
      <w:r>
        <w:t xml:space="preserve"> v průběhu školního roku 2009/2010 na Gymnáziu J. K. Tyla v Hradci Králové a v následujícím školním roce 2010/2011 žáci tohoto gymnázia pod vedením autora zvítězili s tímto pokusem v celostátní soutěži Hronův buňát o nejlepší video experiment.  V roce 2011 byl zařazen do autorovy rigorózní práce </w:t>
      </w:r>
      <w:r w:rsidRPr="005C4426">
        <w:t xml:space="preserve">[37], </w:t>
      </w:r>
      <w:r w:rsidRPr="00475424">
        <w:t>v roce 2013 byl publikován</w:t>
      </w:r>
      <w:r>
        <w:t xml:space="preserve"> v rámci práce SOČ na Gymnáziu v Novém Bydžově v časopise Matematika – Fyzika – Informatika </w:t>
      </w:r>
      <w:r w:rsidRPr="005C4426">
        <w:t>[35]</w:t>
      </w:r>
      <w:r>
        <w:t xml:space="preserve"> a současně byl v tomtéž roce prezentován na posteru v rámci mezinárodní konference učitelů fyziky v Praze ICPE-EPEC 2013 a ve sborníku z této konference </w:t>
      </w:r>
      <w:r w:rsidRPr="005C4426">
        <w:t xml:space="preserve">[36]. </w:t>
      </w:r>
    </w:p>
    <w:p w:rsidR="005C4426" w:rsidRDefault="005C4426" w:rsidP="005C4426">
      <w:pPr>
        <w:pStyle w:val="Bntextrga"/>
        <w:spacing w:line="360" w:lineRule="auto"/>
        <w:ind w:firstLine="360"/>
        <w:jc w:val="both"/>
      </w:pPr>
      <w:r>
        <w:tab/>
        <w:t xml:space="preserve">Jedná se o jednoduchý experiment, který zvládli i žáci základních škol v rámci soutěže Great </w:t>
      </w:r>
      <w:proofErr w:type="spellStart"/>
      <w:r>
        <w:t>Naturalistic</w:t>
      </w:r>
      <w:proofErr w:type="spellEnd"/>
      <w:r>
        <w:t xml:space="preserve"> Brainstorming (více na </w:t>
      </w:r>
      <w:hyperlink r:id="rId9" w:history="1">
        <w:r w:rsidRPr="00795099">
          <w:rPr>
            <w:rStyle w:val="Hypertextovodkaz"/>
          </w:rPr>
          <w:t>www.gnb.cz/gnb/</w:t>
        </w:r>
      </w:hyperlink>
      <w:r>
        <w:t xml:space="preserve"> ), kterou od roku 2012 pořádá pro žáky základních škol v regionu Bydžovska Gymnázium Nový Bydžov, a jejímž je autor práce garantem.</w:t>
      </w:r>
    </w:p>
    <w:p w:rsidR="00262990" w:rsidRDefault="005C4426" w:rsidP="005C4426">
      <w:r>
        <w:tab/>
      </w:r>
    </w:p>
    <w:sectPr w:rsidR="0026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26"/>
    <w:rsid w:val="000364AF"/>
    <w:rsid w:val="00066DE3"/>
    <w:rsid w:val="000E0376"/>
    <w:rsid w:val="001414F0"/>
    <w:rsid w:val="00262990"/>
    <w:rsid w:val="003F2BDE"/>
    <w:rsid w:val="00541463"/>
    <w:rsid w:val="005C30BD"/>
    <w:rsid w:val="005C4426"/>
    <w:rsid w:val="00642E79"/>
    <w:rsid w:val="007F1DF7"/>
    <w:rsid w:val="00DD3040"/>
    <w:rsid w:val="00EF6B12"/>
    <w:rsid w:val="00FE22C3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4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3F2BDE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5C4426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3F2BDE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5C4426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5C442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4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3F2BDE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5C4426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3F2BDE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5C4426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5C442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://www.sclpx.eu/lab2R.php?exp=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nb.cz/gnb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2_4_mereni_g_z_periody_kmitu_kyvad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751018191691578E-2"/>
          <c:y val="0.1604148676970813"/>
          <c:w val="0.67202056294687307"/>
          <c:h val="0.70027904038349098"/>
        </c:manualLayout>
      </c:layout>
      <c:scatterChart>
        <c:scatterStyle val="lineMarker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 (s)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7"/>
          </c:marker>
          <c:trendline>
            <c:spPr>
              <a:ln>
                <a:solidFill>
                  <a:srgbClr val="FF0000"/>
                </a:solidFill>
              </a:ln>
            </c:spPr>
            <c:trendlineType val="power"/>
            <c:forward val="0.1"/>
            <c:backward val="0.25"/>
            <c:dispRSqr val="1"/>
            <c:dispEq val="1"/>
            <c:trendlineLbl>
              <c:layout>
                <c:manualLayout>
                  <c:x val="0.32704686396958998"/>
                  <c:y val="-6.312643970098461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</a:defRPr>
                  </a:pPr>
                  <a:endParaRPr lang="cs-CZ"/>
                </a:p>
              </c:txPr>
            </c:trendlineLbl>
          </c:trendline>
          <c:xVal>
            <c:numRef>
              <c:f>List1!$A$2:$A$13</c:f>
              <c:numCache>
                <c:formatCode>0.00</c:formatCode>
                <c:ptCount val="12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0.38</c:v>
                </c:pt>
                <c:pt idx="5">
                  <c:v>0.38</c:v>
                </c:pt>
                <c:pt idx="6">
                  <c:v>0.38</c:v>
                </c:pt>
                <c:pt idx="7">
                  <c:v>0.38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0.5</c:v>
                </c:pt>
              </c:numCache>
            </c:numRef>
          </c:xVal>
          <c:yVal>
            <c:numRef>
              <c:f>List1!$B$2:$B$13</c:f>
              <c:numCache>
                <c:formatCode>0.000</c:formatCode>
                <c:ptCount val="12"/>
                <c:pt idx="0">
                  <c:v>0.90600000000000003</c:v>
                </c:pt>
                <c:pt idx="1">
                  <c:v>0.90300000000000002</c:v>
                </c:pt>
                <c:pt idx="2">
                  <c:v>0.90200000000000002</c:v>
                </c:pt>
                <c:pt idx="3">
                  <c:v>0.90700000000000003</c:v>
                </c:pt>
                <c:pt idx="4">
                  <c:v>1.2549999999999999</c:v>
                </c:pt>
                <c:pt idx="5">
                  <c:v>1.252</c:v>
                </c:pt>
                <c:pt idx="6">
                  <c:v>1.232</c:v>
                </c:pt>
                <c:pt idx="7">
                  <c:v>1.264</c:v>
                </c:pt>
                <c:pt idx="8">
                  <c:v>1.419</c:v>
                </c:pt>
                <c:pt idx="9">
                  <c:v>1.425</c:v>
                </c:pt>
                <c:pt idx="10">
                  <c:v>1.4219999999999999</c:v>
                </c:pt>
                <c:pt idx="11">
                  <c:v>1.4219999999999999</c:v>
                </c:pt>
              </c:numCache>
            </c:numRef>
          </c:yVal>
          <c:smooth val="0"/>
        </c:ser>
        <c:ser>
          <c:idx val="1"/>
          <c:order val="1"/>
          <c:tx>
            <c:v>teorie</c:v>
          </c:tx>
          <c:spPr>
            <a:ln w="28575">
              <a:noFill/>
            </a:ln>
          </c:spPr>
          <c:marker>
            <c:symbol val="x"/>
            <c:size val="7"/>
            <c:spPr>
              <a:noFill/>
              <a:ln>
                <a:solidFill>
                  <a:schemeClr val="tx1"/>
                </a:solidFill>
              </a:ln>
            </c:spPr>
          </c:marker>
          <c:trendline>
            <c:spPr>
              <a:ln>
                <a:solidFill>
                  <a:srgbClr val="0070C0"/>
                </a:solidFill>
              </a:ln>
            </c:spPr>
            <c:trendlineType val="power"/>
            <c:forward val="0.1"/>
            <c:backward val="0.25"/>
            <c:dispRSqr val="0"/>
            <c:dispEq val="0"/>
          </c:trendline>
          <c:xVal>
            <c:numRef>
              <c:f>List1!$A$2:$A$13</c:f>
              <c:numCache>
                <c:formatCode>0.00</c:formatCode>
                <c:ptCount val="12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0.38</c:v>
                </c:pt>
                <c:pt idx="5">
                  <c:v>0.38</c:v>
                </c:pt>
                <c:pt idx="6">
                  <c:v>0.38</c:v>
                </c:pt>
                <c:pt idx="7">
                  <c:v>0.38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0.5</c:v>
                </c:pt>
              </c:numCache>
            </c:numRef>
          </c:xVal>
          <c:yVal>
            <c:numRef>
              <c:f>List1!$D$2:$D$13</c:f>
              <c:numCache>
                <c:formatCode>General</c:formatCode>
                <c:ptCount val="12"/>
                <c:pt idx="0">
                  <c:v>0.89668548119819647</c:v>
                </c:pt>
                <c:pt idx="1">
                  <c:v>0.89668548119819647</c:v>
                </c:pt>
                <c:pt idx="2">
                  <c:v>0.89668548119819647</c:v>
                </c:pt>
                <c:pt idx="3">
                  <c:v>0.89668548119819647</c:v>
                </c:pt>
                <c:pt idx="4">
                  <c:v>1.235995638812742</c:v>
                </c:pt>
                <c:pt idx="5">
                  <c:v>1.235995638812742</c:v>
                </c:pt>
                <c:pt idx="6">
                  <c:v>1.235995638812742</c:v>
                </c:pt>
                <c:pt idx="7">
                  <c:v>1.235995638812742</c:v>
                </c:pt>
                <c:pt idx="8">
                  <c:v>1.417784232695195</c:v>
                </c:pt>
                <c:pt idx="9">
                  <c:v>1.417784232695195</c:v>
                </c:pt>
                <c:pt idx="10">
                  <c:v>1.417784232695195</c:v>
                </c:pt>
                <c:pt idx="11">
                  <c:v>1.417784232695195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0180864"/>
        <c:axId val="200183168"/>
      </c:scatterChart>
      <c:valAx>
        <c:axId val="200180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(m)</a:t>
                </a:r>
              </a:p>
            </c:rich>
          </c:tx>
          <c:layout>
            <c:manualLayout>
              <c:xMode val="edge"/>
              <c:yMode val="edge"/>
              <c:x val="0.81242566748122003"/>
              <c:y val="0.86548754358501667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200183168"/>
        <c:crosses val="autoZero"/>
        <c:crossBetween val="midCat"/>
      </c:valAx>
      <c:valAx>
        <c:axId val="20018316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(s), </a:t>
                </a: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cs-CZ" sz="1200" b="0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teor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(s)</a:t>
                </a:r>
              </a:p>
            </c:rich>
          </c:tx>
          <c:layout>
            <c:manualLayout>
              <c:xMode val="edge"/>
              <c:yMode val="edge"/>
              <c:x val="2.2068965517241378E-2"/>
              <c:y val="7.5030298334583009E-2"/>
            </c:manualLayout>
          </c:layout>
          <c:overlay val="0"/>
        </c:title>
        <c:numFmt formatCode="0.000" sourceLinked="1"/>
        <c:majorTickMark val="out"/>
        <c:minorTickMark val="none"/>
        <c:tickLblPos val="nextTo"/>
        <c:crossAx val="20018086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cenda</dc:creator>
  <cp:lastModifiedBy>imhotep</cp:lastModifiedBy>
  <cp:revision>3</cp:revision>
  <cp:lastPrinted>2016-01-24T10:22:00Z</cp:lastPrinted>
  <dcterms:created xsi:type="dcterms:W3CDTF">2016-01-24T10:20:00Z</dcterms:created>
  <dcterms:modified xsi:type="dcterms:W3CDTF">2016-01-24T10:22:00Z</dcterms:modified>
</cp:coreProperties>
</file>