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62" w:rsidRPr="002B0D24" w:rsidRDefault="00411762" w:rsidP="002445E6">
      <w:pPr>
        <w:rPr>
          <w:rFonts w:cstheme="minorHAnsi"/>
        </w:rPr>
      </w:pPr>
    </w:p>
    <w:p w:rsidR="002B0D24" w:rsidRPr="002B0D24" w:rsidRDefault="002B0D24" w:rsidP="002B0D24">
      <w:pPr>
        <w:pStyle w:val="Bntextrga"/>
        <w:rPr>
          <w:rFonts w:asciiTheme="minorHAnsi" w:hAnsiTheme="minorHAnsi" w:cstheme="minorHAnsi"/>
          <w:b/>
          <w:sz w:val="22"/>
        </w:rPr>
      </w:pPr>
      <w:r w:rsidRPr="002B0D24">
        <w:rPr>
          <w:rFonts w:asciiTheme="minorHAnsi" w:hAnsiTheme="minorHAnsi" w:cstheme="minorHAnsi"/>
          <w:b/>
          <w:sz w:val="22"/>
        </w:rPr>
        <w:t>Klasické provedení a didaktické aspekty pokusu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 xml:space="preserve">U kyvadla, jakožto dalšího typu mechanického oscilátoru, platí obdobně vše, co bylo řečeno v předchozích </w:t>
      </w:r>
      <w:r>
        <w:rPr>
          <w:rFonts w:asciiTheme="minorHAnsi" w:hAnsiTheme="minorHAnsi" w:cstheme="minorHAnsi"/>
          <w:sz w:val="22"/>
        </w:rPr>
        <w:t>experimentech SCLPX-7 a SCLPX-</w:t>
      </w:r>
      <w:r w:rsidRPr="002B0D24">
        <w:rPr>
          <w:rFonts w:asciiTheme="minorHAnsi" w:hAnsiTheme="minorHAnsi" w:cstheme="minorHAnsi"/>
          <w:sz w:val="22"/>
        </w:rPr>
        <w:t>8.</w:t>
      </w:r>
    </w:p>
    <w:p w:rsidR="002B0D24" w:rsidRPr="0026557E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 xml:space="preserve">V současném pojetí se od kyvadla jako modelu mechanického oscilátoru upouští, protože pro žáky je obtížné charakterizovat nejen jeho parametry, ale při výkladu elektromagnetického oscilátoru hledáme jen těžko analogii s délkou kyvadla. Z didaktického pohledu je tedy výhodnější pracovat s pružinovým oscilátorem, který má 2 parametry stejně jako oscilátor elektromagnetický, viz </w:t>
      </w:r>
      <w:r w:rsidRPr="0026557E">
        <w:rPr>
          <w:rFonts w:asciiTheme="minorHAnsi" w:hAnsiTheme="minorHAnsi" w:cstheme="minorHAnsi"/>
          <w:sz w:val="22"/>
        </w:rPr>
        <w:t>[31], str. 237.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Nicméně pro jeho jednoduchost stále zůstává oblíbenou pomůckou učitelů fyziky a ani my nejsme v tomto směru výjimkou.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U kyvadla je dále nutné studentům vysvětlit, že teoreticky odvozený vztah pro periodu kyvadla</w:t>
      </w:r>
    </w:p>
    <w:p w:rsidR="002B0D24" w:rsidRPr="002B0D24" w:rsidRDefault="002B0D24" w:rsidP="002B0D24">
      <w:pPr>
        <w:pStyle w:val="Bntextrga"/>
        <w:tabs>
          <w:tab w:val="left" w:pos="851"/>
        </w:tabs>
        <w:jc w:val="righ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T</m:t>
        </m:r>
        <m:r>
          <w:rPr>
            <w:rFonts w:ascii="Cambria Math" w:hAnsiTheme="minorHAnsi" w:cstheme="minorHAnsi"/>
            <w:sz w:val="22"/>
          </w:rPr>
          <m:t>=2</m:t>
        </m:r>
        <m:r>
          <w:rPr>
            <w:rFonts w:ascii="Cambria Math" w:hAnsi="Cambria Math" w:cstheme="minorHAnsi"/>
            <w:sz w:val="22"/>
          </w:rPr>
          <m:t>π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</w:rPr>
            </m:ctrlPr>
          </m:radPr>
          <m:deg/>
          <m:e>
            <m:f>
              <m:fPr>
                <m:ctrlPr>
                  <w:rPr>
                    <w:rFonts w:ascii="Cambria Math" w:hAnsiTheme="minorHAnsi" w:cstheme="minorHAnsi"/>
                    <w:i/>
                    <w:sz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</w:rPr>
                  <m:t>l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</w:rPr>
                  <m:t>g</m:t>
                </m:r>
              </m:den>
            </m:f>
          </m:e>
        </m:rad>
      </m:oMath>
      <w:r w:rsidRPr="002B0D24">
        <w:rPr>
          <w:rFonts w:asciiTheme="minorHAnsi" w:eastAsiaTheme="minorEastAsia" w:hAnsiTheme="minorHAnsi" w:cstheme="minorHAnsi"/>
          <w:sz w:val="22"/>
        </w:rPr>
        <w:t xml:space="preserve">                                                       (9)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</w:rPr>
        <w:t>platí pouze pro malou výchylku, řádově do 5</w:t>
      </w:r>
      <w:r w:rsidRPr="002B0D24">
        <w:rPr>
          <w:rFonts w:asciiTheme="minorHAnsi" w:eastAsiaTheme="minorEastAsia" w:hAnsiTheme="minorHAnsi" w:cstheme="minorHAnsi"/>
          <w:sz w:val="22"/>
          <w:vertAlign w:val="superscript"/>
        </w:rPr>
        <w:t>o</w:t>
      </w:r>
      <w:r w:rsidRPr="002B0D24">
        <w:rPr>
          <w:rFonts w:asciiTheme="minorHAnsi" w:eastAsiaTheme="minorEastAsia" w:hAnsiTheme="minorHAnsi" w:cstheme="minorHAnsi"/>
          <w:sz w:val="22"/>
        </w:rPr>
        <w:t xml:space="preserve">, viz [35], str. 590, protože pak se již významným parametrem stává velikost úhlové výchylky. 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</w:rPr>
        <w:tab/>
        <w:t xml:space="preserve">Žákům je také třeba vysvětlit pojem </w:t>
      </w:r>
      <w:r w:rsidRPr="002B0D24">
        <w:rPr>
          <w:rFonts w:asciiTheme="minorHAnsi" w:eastAsiaTheme="minorEastAsia" w:hAnsiTheme="minorHAnsi" w:cstheme="minorHAnsi"/>
          <w:i/>
          <w:sz w:val="22"/>
        </w:rPr>
        <w:t>matematického</w:t>
      </w:r>
      <w:r w:rsidRPr="002B0D24">
        <w:rPr>
          <w:rFonts w:asciiTheme="minorHAnsi" w:eastAsiaTheme="minorEastAsia" w:hAnsiTheme="minorHAnsi" w:cstheme="minorHAnsi"/>
          <w:sz w:val="22"/>
        </w:rPr>
        <w:t xml:space="preserve"> kyvadla jako hmotného bodu o hmotnosti </w:t>
      </w:r>
      <w:r w:rsidRPr="002B0D24">
        <w:rPr>
          <w:rFonts w:asciiTheme="minorHAnsi" w:eastAsiaTheme="minorEastAsia" w:hAnsiTheme="minorHAnsi" w:cstheme="minorHAnsi"/>
          <w:i/>
          <w:sz w:val="22"/>
        </w:rPr>
        <w:t>m</w:t>
      </w:r>
      <w:r w:rsidRPr="002B0D24">
        <w:rPr>
          <w:rFonts w:asciiTheme="minorHAnsi" w:eastAsiaTheme="minorEastAsia" w:hAnsiTheme="minorHAnsi" w:cstheme="minorHAnsi"/>
          <w:sz w:val="22"/>
        </w:rPr>
        <w:t xml:space="preserve"> zavěšeného na nehmotném vlákně délky </w:t>
      </w:r>
      <w:r w:rsidRPr="002B0D24">
        <w:rPr>
          <w:rFonts w:asciiTheme="minorHAnsi" w:eastAsiaTheme="minorEastAsia" w:hAnsiTheme="minorHAnsi" w:cstheme="minorHAnsi"/>
          <w:i/>
          <w:sz w:val="22"/>
        </w:rPr>
        <w:t>l</w:t>
      </w:r>
      <w:r w:rsidRPr="002B0D24">
        <w:rPr>
          <w:rFonts w:asciiTheme="minorHAnsi" w:eastAsiaTheme="minorEastAsia" w:hAnsiTheme="minorHAnsi" w:cstheme="minorHAnsi"/>
          <w:sz w:val="22"/>
        </w:rPr>
        <w:t xml:space="preserve"> a </w:t>
      </w:r>
      <w:r w:rsidRPr="002B0D24">
        <w:rPr>
          <w:rFonts w:asciiTheme="minorHAnsi" w:eastAsiaTheme="minorEastAsia" w:hAnsiTheme="minorHAnsi" w:cstheme="minorHAnsi"/>
          <w:i/>
          <w:sz w:val="22"/>
        </w:rPr>
        <w:t>fyzického</w:t>
      </w:r>
      <w:r w:rsidRPr="002B0D24">
        <w:rPr>
          <w:rFonts w:asciiTheme="minorHAnsi" w:eastAsiaTheme="minorEastAsia" w:hAnsiTheme="minorHAnsi" w:cstheme="minorHAnsi"/>
          <w:sz w:val="22"/>
        </w:rPr>
        <w:t xml:space="preserve"> kyvadla jako tuhého tělesa, u kterého se již projevuje moment setrvačnosti ovlivňující velikost periody. 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</w:rPr>
        <w:tab/>
        <w:t>Studenti si většinou neuvědomí souvislost pohybu kyvadla s volným pádem, takže často za parametr ovlivňující periodu kmitů považují hmotnost závaží a jsou poměrně značně překvapení, že kyvadlo při stejné délce závěsu kývá s různě těžkým závažím se stejnou periodou. I zde můžeme na začátku výkladové hodiny vznést problémovou otázku, která pojímá všechny výše uvedené skutečnosti a jednoduchým experimentem uvést vše na správnou míru.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</w:rPr>
        <w:tab/>
        <w:t>Ověření vztahu pro periodu kyvadla klasickým způsobem je dostatečně dobře popsáno v [27], str. 119, takže se jím zde nebudeme podrobněji zabývat.</w:t>
      </w:r>
    </w:p>
    <w:p w:rsidR="002B0D24" w:rsidRPr="002B0D24" w:rsidRDefault="002B0D24" w:rsidP="002B0D24">
      <w:pPr>
        <w:pStyle w:val="Bntextrga"/>
        <w:tabs>
          <w:tab w:val="left" w:pos="851"/>
        </w:tabs>
        <w:rPr>
          <w:rFonts w:asciiTheme="minorHAnsi" w:eastAsiaTheme="minorEastAsia" w:hAnsiTheme="minorHAnsi" w:cstheme="minorHAnsi"/>
          <w:sz w:val="22"/>
        </w:rPr>
      </w:pPr>
    </w:p>
    <w:p w:rsidR="00530997" w:rsidRDefault="00530997" w:rsidP="002B0D24">
      <w:pPr>
        <w:pStyle w:val="Bntextrga"/>
        <w:rPr>
          <w:rFonts w:asciiTheme="minorHAnsi" w:hAnsiTheme="minorHAnsi" w:cstheme="minorHAnsi"/>
          <w:b/>
          <w:sz w:val="22"/>
        </w:rPr>
      </w:pPr>
    </w:p>
    <w:p w:rsidR="002B0D24" w:rsidRPr="002B0D24" w:rsidRDefault="00CE398F" w:rsidP="002B0D24">
      <w:pPr>
        <w:pStyle w:val="Bntextrga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SCLPX – 09 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  <w:u w:val="single"/>
        </w:rPr>
        <w:t>Pomůcky:</w:t>
      </w:r>
      <w:r w:rsidRPr="002B0D24">
        <w:rPr>
          <w:rFonts w:asciiTheme="minorHAnsi" w:eastAsiaTheme="minorEastAsia" w:hAnsiTheme="minorHAnsi" w:cstheme="minorHAnsi"/>
          <w:sz w:val="22"/>
        </w:rPr>
        <w:t xml:space="preserve"> zvuková karta, laserové ukazovátko, kovový váleček, provázek nebo pevná nit, laboratorní stojan.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2B0D24">
        <w:rPr>
          <w:rFonts w:asciiTheme="minorHAnsi" w:eastAsiaTheme="minorEastAsia" w:hAnsiTheme="minorHAnsi" w:cstheme="minorHAnsi"/>
          <w:sz w:val="22"/>
          <w:u w:val="single"/>
        </w:rPr>
        <w:t>Postup práce:</w:t>
      </w:r>
      <w:r w:rsidRPr="002B0D24">
        <w:rPr>
          <w:rFonts w:asciiTheme="minorHAnsi" w:eastAsiaTheme="minorEastAsia" w:hAnsiTheme="minorHAnsi" w:cstheme="minorHAnsi"/>
          <w:sz w:val="22"/>
        </w:rPr>
        <w:t xml:space="preserve"> uspořádání experimentu vidíme na následujícím obr. 38 s detailním pohledem na zaměření laserového paprsku na střed válečku.</w:t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32" name="Obrázek 31" descr="Obr38-ky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8-kyvadl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>Obr. 38 Model matematického kyvadla s detailem zaměření laserového paprsku</w:t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>Po spuštění programu Free Audio Editor vychýlíme kyvadlo z rovnovážné polohy o malý úhel a necháme volně kmitat. Kyvadlo přerušující laserový paprsek vytváří opět charakteristický záznam signálu, viz obr. 39, ze kterého můžeme odečíst periodu.</w:t>
      </w:r>
    </w:p>
    <w:p w:rsidR="00530997" w:rsidRDefault="00530997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</w:p>
    <w:p w:rsidR="00530997" w:rsidRDefault="00530997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</w:p>
    <w:p w:rsidR="00530997" w:rsidRDefault="00530997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</w:p>
    <w:p w:rsidR="00530997" w:rsidRDefault="00530997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</w:p>
    <w:p w:rsidR="00530997" w:rsidRDefault="00530997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  <w:u w:val="single"/>
        </w:rPr>
      </w:pPr>
      <w:r w:rsidRPr="002B0D24">
        <w:rPr>
          <w:rFonts w:asciiTheme="minorHAnsi" w:hAnsiTheme="minorHAnsi" w:cstheme="minorHAnsi"/>
          <w:sz w:val="22"/>
          <w:u w:val="single"/>
        </w:rPr>
        <w:lastRenderedPageBreak/>
        <w:t>Náhled signálu:</w:t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33" name="Obrázek 32" descr="Obr39-kyvadlo-zaznam-signa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39-kyvadlo-zaznam-signalu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24" w:rsidRPr="002B0D24" w:rsidRDefault="002B0D24" w:rsidP="00530997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>Obr. 39 Záznam signálu při experimentu s kyvadlem</w:t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 xml:space="preserve">Tabulka 5 udává naměřené hodnoty periody při různých délkách. Pokud tyto hodnoty vyneseme do grafu, viz obr. 40, lze danými body proložit regresní křivku, a z ní odhadnout závislost periody na délce kyvadla ve tvaru </w:t>
      </w:r>
      <w:r w:rsidRPr="002B0D24">
        <w:rPr>
          <w:rFonts w:asciiTheme="minorHAnsi" w:hAnsiTheme="minorHAnsi" w:cstheme="minorHAnsi"/>
          <w:i/>
          <w:sz w:val="22"/>
        </w:rPr>
        <w:t>T</w:t>
      </w:r>
      <w:r w:rsidRPr="002B0D24">
        <w:rPr>
          <w:rFonts w:asciiTheme="minorHAnsi" w:hAnsiTheme="minorHAnsi" w:cstheme="minorHAnsi"/>
          <w:sz w:val="22"/>
        </w:rPr>
        <w:t xml:space="preserve"> ≈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</w:rPr>
              <m:t>l</m:t>
            </m:r>
          </m:e>
        </m:rad>
      </m:oMath>
      <w:r w:rsidRPr="002B0D24">
        <w:rPr>
          <w:rFonts w:asciiTheme="minorHAnsi" w:hAnsiTheme="minorHAnsi" w:cstheme="minorHAnsi"/>
          <w:sz w:val="22"/>
        </w:rPr>
        <w:t>.</w:t>
      </w:r>
    </w:p>
    <w:p w:rsidR="002B0D24" w:rsidRPr="002B0D24" w:rsidRDefault="002B0D24" w:rsidP="002B0D24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b/>
          <w:sz w:val="22"/>
        </w:rPr>
        <w:t>Tabulka 5 – Měření periody kyvadla</w:t>
      </w:r>
    </w:p>
    <w:tbl>
      <w:tblPr>
        <w:tblStyle w:val="Mkatabulky"/>
        <w:tblW w:w="5000" w:type="pct"/>
        <w:tblLook w:val="04A0"/>
      </w:tblPr>
      <w:tblGrid>
        <w:gridCol w:w="2555"/>
        <w:gridCol w:w="3910"/>
        <w:gridCol w:w="3105"/>
      </w:tblGrid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č. měř.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i/>
                <w:sz w:val="22"/>
              </w:rPr>
              <w:t>l</w:t>
            </w:r>
            <w:r w:rsidRPr="002B0D24">
              <w:rPr>
                <w:rFonts w:asciiTheme="minorHAnsi" w:hAnsiTheme="minorHAnsi" w:cstheme="minorHAnsi"/>
                <w:sz w:val="22"/>
              </w:rPr>
              <w:t xml:space="preserve"> (m)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i/>
                <w:sz w:val="22"/>
              </w:rPr>
              <w:t>T</w:t>
            </w:r>
            <w:r w:rsidRPr="002B0D24">
              <w:rPr>
                <w:rFonts w:asciiTheme="minorHAnsi" w:hAnsiTheme="minorHAnsi" w:cstheme="minorHAnsi"/>
                <w:sz w:val="22"/>
              </w:rPr>
              <w:t xml:space="preserve"> (s)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0,19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0,458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0,19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0,458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0,19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0,431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0,19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0,432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0,19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0,432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0,35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0,590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0,35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0,586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0,35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0,587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0,35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0,586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0,35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0,575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0,50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0,725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0,50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0,728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0,50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0,726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0,50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0,727</w:t>
            </w:r>
          </w:p>
        </w:tc>
      </w:tr>
      <w:tr w:rsidR="002B0D24" w:rsidRPr="002B0D24" w:rsidTr="00FF6DC9">
        <w:tc>
          <w:tcPr>
            <w:tcW w:w="1335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2043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0,50</w:t>
            </w:r>
          </w:p>
        </w:tc>
        <w:tc>
          <w:tcPr>
            <w:tcW w:w="1622" w:type="pct"/>
          </w:tcPr>
          <w:p w:rsidR="002B0D24" w:rsidRPr="002B0D24" w:rsidRDefault="002B0D24" w:rsidP="00FF6DC9">
            <w:pPr>
              <w:pStyle w:val="Bntextrga"/>
              <w:jc w:val="center"/>
              <w:rPr>
                <w:rFonts w:asciiTheme="minorHAnsi" w:hAnsiTheme="minorHAnsi" w:cstheme="minorHAnsi"/>
                <w:sz w:val="22"/>
              </w:rPr>
            </w:pPr>
            <w:r w:rsidRPr="002B0D24">
              <w:rPr>
                <w:rFonts w:asciiTheme="minorHAnsi" w:hAnsiTheme="minorHAnsi" w:cstheme="minorHAnsi"/>
                <w:sz w:val="22"/>
              </w:rPr>
              <w:t>0,726</w:t>
            </w:r>
          </w:p>
        </w:tc>
      </w:tr>
    </w:tbl>
    <w:p w:rsid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</w:p>
    <w:p w:rsidR="004B3C1F" w:rsidRPr="002B0D24" w:rsidRDefault="004B3C1F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5172075" cy="3400425"/>
            <wp:effectExtent l="19050" t="0" r="9525" b="0"/>
            <wp:docPr id="3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0D24" w:rsidRPr="002B0D24" w:rsidRDefault="002B0D24" w:rsidP="002B0D24">
      <w:pPr>
        <w:pStyle w:val="Bntextrga"/>
        <w:tabs>
          <w:tab w:val="left" w:pos="851"/>
        </w:tabs>
        <w:jc w:val="center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>Obr. 40 Grafická závislost periody kyvadla na jeho délce</w:t>
      </w:r>
    </w:p>
    <w:p w:rsidR="002B0D24" w:rsidRPr="002B0D24" w:rsidRDefault="002B0D24" w:rsidP="002B0D24">
      <w:pPr>
        <w:pStyle w:val="Bntextrga"/>
        <w:tabs>
          <w:tab w:val="left" w:pos="851"/>
        </w:tabs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 xml:space="preserve">Pokud v MS Excelu zvolíme typ regresní křivky jako mocninný, tak vidíme, že koeficient </w:t>
      </w:r>
      <w:r w:rsidRPr="002B0D24">
        <w:rPr>
          <w:rFonts w:asciiTheme="minorHAnsi" w:hAnsiTheme="minorHAnsi" w:cstheme="minorHAnsi"/>
          <w:i/>
          <w:sz w:val="22"/>
        </w:rPr>
        <w:t xml:space="preserve">a </w:t>
      </w:r>
      <w:r w:rsidRPr="002B0D24">
        <w:rPr>
          <w:rFonts w:asciiTheme="minorHAnsi" w:hAnsiTheme="minorHAnsi" w:cstheme="minorHAnsi"/>
          <w:sz w:val="22"/>
        </w:rPr>
        <w:t xml:space="preserve">nabývá přibližně hodnoty 1 a parametr </w:t>
      </w:r>
      <w:r w:rsidRPr="002B0D24">
        <w:rPr>
          <w:rFonts w:asciiTheme="minorHAnsi" w:hAnsiTheme="minorHAnsi" w:cstheme="minorHAnsi"/>
          <w:i/>
          <w:sz w:val="22"/>
        </w:rPr>
        <w:t>n</w:t>
      </w:r>
      <w:r w:rsidRPr="002B0D24">
        <w:rPr>
          <w:rFonts w:asciiTheme="minorHAnsi" w:hAnsiTheme="minorHAnsi" w:cstheme="minorHAnsi"/>
          <w:sz w:val="22"/>
        </w:rPr>
        <w:t xml:space="preserve"> je přibližně roven hodnotě 0,5. 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  <w:u w:val="single"/>
        </w:rPr>
        <w:t>Didaktické poznámky:</w:t>
      </w:r>
      <w:r w:rsidRPr="002B0D24">
        <w:rPr>
          <w:rFonts w:asciiTheme="minorHAnsi" w:hAnsiTheme="minorHAnsi" w:cstheme="minorHAnsi"/>
          <w:sz w:val="22"/>
        </w:rPr>
        <w:t xml:space="preserve"> z pohledu předchozího grafu, když se studenti snaží v programu MS Excel určit typ regresní křivky, můžeme studenty motivovat k odhalení správné závislosti otázkou, jakým způsobem rozlišíme, zda se jedná o závislost lineární nebo mocninnou. Chytří studenti by měli přijít na to, že stačí provést ještě další sadu pokusů pro délku kyvadla v rozmezí 0,05 až 0,1 m nebo odhalí, že pokud by se jednalo o lineární závislost, existovalo by kyvadlo s nulovou délkou závěsu a nenulovou hodnotou periody, což není možné.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V případě použití soupravy Vernier je určitě pro studenty velmi pohodlné, že program přímo vypočítá z naměřených pulzů hodnotu periody a vykreslí i konstantní funkci. Z didaktického hlediska se ale domníváme, že toto zautomatizované měření vyznívá spíše v neprospěch celé věci, protože se studenti nenaučí odečítat hodnoty z vykresleného grafu.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2B0D24" w:rsidRPr="002B0D24" w:rsidRDefault="002B0D24" w:rsidP="002B0D24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Klasická metoda poskytuje určitě méně přesné měření času než námi navržená alternativa. Jinak je použití obou metod obdobné a není mezi nimi významnější rozdíl.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V případě použití systému ISES jsme opět odkázání na použití několika modulů, bez kterých nelze měření zrealizovat. I v tomto případě platí, jak již bylo uvedeno výše, že výhodou ISESu je přímá demonstrace sinusového průběhu výchylky na čase.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2B0D24">
        <w:rPr>
          <w:rFonts w:asciiTheme="minorHAnsi" w:hAnsiTheme="minorHAnsi" w:cstheme="minorHAnsi"/>
          <w:b/>
          <w:sz w:val="22"/>
        </w:rPr>
        <w:t>Zařazení experimentu do výuky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Experiment lze kvalitativně poměrně dobře zvládnout i ve výkladové hodině, i když i zde musíme mocninnou závislost odvodit z pohybových rovnic.</w:t>
      </w:r>
    </w:p>
    <w:p w:rsidR="002B0D24" w:rsidRPr="002B0D24" w:rsidRDefault="002B0D24" w:rsidP="002B0D24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B0D24">
        <w:rPr>
          <w:rFonts w:asciiTheme="minorHAnsi" w:hAnsiTheme="minorHAnsi" w:cstheme="minorHAnsi"/>
          <w:sz w:val="22"/>
        </w:rPr>
        <w:tab/>
        <w:t>V rámci laboratorních cvičení se můžeme rozboru závislosti periody kyvadla na délce závěsu a hmotnosti kuličky věnovat podrobněji a tím lze pokus zařadit do skupiny heuristických nebo opakujících a prohlubujících experimentů.</w:t>
      </w:r>
    </w:p>
    <w:p w:rsidR="002B0D24" w:rsidRPr="002B0D24" w:rsidRDefault="002B0D24" w:rsidP="002445E6">
      <w:pPr>
        <w:rPr>
          <w:rFonts w:cstheme="minorHAnsi"/>
        </w:rPr>
      </w:pPr>
    </w:p>
    <w:sectPr w:rsidR="002B0D24" w:rsidRPr="002B0D24" w:rsidSect="009A6B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B8" w:rsidRDefault="00DB23B8" w:rsidP="00DA2DFA">
      <w:pPr>
        <w:spacing w:after="0" w:line="240" w:lineRule="auto"/>
      </w:pPr>
      <w:r>
        <w:separator/>
      </w:r>
    </w:p>
  </w:endnote>
  <w:endnote w:type="continuationSeparator" w:id="0">
    <w:p w:rsidR="00DB23B8" w:rsidRDefault="00DB23B8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A" w:rsidRDefault="00BC63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6B2269">
        <w:pPr>
          <w:pStyle w:val="Zpat"/>
          <w:jc w:val="center"/>
        </w:pPr>
        <w:fldSimple w:instr=" PAGE   \* MERGEFORMAT ">
          <w:r w:rsidR="00BC63DA">
            <w:rPr>
              <w:noProof/>
            </w:rPr>
            <w:t>1</w:t>
          </w:r>
        </w:fldSimple>
      </w:p>
    </w:sdtContent>
  </w:sdt>
  <w:p w:rsidR="002C69C2" w:rsidRDefault="002C69C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A" w:rsidRDefault="00BC63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B8" w:rsidRDefault="00DB23B8" w:rsidP="00DA2DFA">
      <w:pPr>
        <w:spacing w:after="0" w:line="240" w:lineRule="auto"/>
      </w:pPr>
      <w:r>
        <w:separator/>
      </w:r>
    </w:p>
  </w:footnote>
  <w:footnote w:type="continuationSeparator" w:id="0">
    <w:p w:rsidR="00DB23B8" w:rsidRDefault="00DB23B8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A" w:rsidRDefault="00BC63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3B4A81">
    <w:pPr>
      <w:pStyle w:val="Zhlav"/>
      <w:tabs>
        <w:tab w:val="clear" w:pos="9072"/>
        <w:tab w:val="right" w:pos="9356"/>
      </w:tabs>
      <w:jc w:val="both"/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</w:r>
    <w:r w:rsidR="003B4A81">
      <w:rPr>
        <w:sz w:val="18"/>
        <w:szCs w:val="18"/>
      </w:rPr>
      <w:t xml:space="preserve">  </w:t>
    </w:r>
    <w:r w:rsidR="00D148B6" w:rsidRPr="002C69C2">
      <w:rPr>
        <w:sz w:val="18"/>
        <w:szCs w:val="18"/>
      </w:rPr>
      <w:t>RNDr. Čeněk Kodejška</w:t>
    </w:r>
  </w:p>
  <w:p w:rsidR="00DA2DFA" w:rsidRPr="002C69C2" w:rsidRDefault="00057943" w:rsidP="00F70CB9">
    <w:pPr>
      <w:pStyle w:val="Zhlav"/>
      <w:jc w:val="both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26557E" w:rsidRDefault="0026557E" w:rsidP="00324D0E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324D0E">
      <w:rPr>
        <w:sz w:val="18"/>
        <w:szCs w:val="18"/>
      </w:rPr>
      <w:tab/>
    </w:r>
    <w:hyperlink r:id="rId2" w:history="1">
      <w:r w:rsidR="00BC63DA" w:rsidRPr="008F262A">
        <w:rPr>
          <w:rStyle w:val="Hypertextovodkaz"/>
          <w:sz w:val="18"/>
          <w:szCs w:val="18"/>
        </w:rPr>
        <w:t>www.sclpx.eu</w:t>
      </w:r>
    </w:hyperlink>
    <w:r w:rsidR="00BC63DA">
      <w:rPr>
        <w:sz w:val="18"/>
        <w:szCs w:val="18"/>
      </w:rPr>
      <w:t xml:space="preserve"> </w:t>
    </w:r>
  </w:p>
  <w:p w:rsidR="00AC4EC2" w:rsidRPr="002C69C2" w:rsidRDefault="00AC4EC2" w:rsidP="0026557E">
    <w:pPr>
      <w:pStyle w:val="Zhlav"/>
      <w:rPr>
        <w:sz w:val="18"/>
        <w:szCs w:val="18"/>
      </w:rPr>
    </w:pPr>
  </w:p>
  <w:p w:rsidR="002445E6" w:rsidRPr="002445E6" w:rsidRDefault="00324D0E" w:rsidP="002445E6">
    <w:pPr>
      <w:pStyle w:val="Podkapitola"/>
    </w:pPr>
    <w:r>
      <w:t>SCLPX – 07 – 2R – O</w:t>
    </w:r>
    <w:r w:rsidR="002445E6" w:rsidRPr="002445E6">
      <w:t>věření vztahu pro periodu kyvadla</w:t>
    </w:r>
  </w:p>
  <w:p w:rsidR="00D148B6" w:rsidRPr="00BE074F" w:rsidRDefault="00D148B6" w:rsidP="002445E6">
    <w:pPr>
      <w:pStyle w:val="Zhlav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DA" w:rsidRDefault="00BC63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45836"/>
    <w:rsid w:val="00046450"/>
    <w:rsid w:val="00047409"/>
    <w:rsid w:val="0005156C"/>
    <w:rsid w:val="00054009"/>
    <w:rsid w:val="00055484"/>
    <w:rsid w:val="00057472"/>
    <w:rsid w:val="00057943"/>
    <w:rsid w:val="000632AC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6C25"/>
    <w:rsid w:val="000A1225"/>
    <w:rsid w:val="000A33FF"/>
    <w:rsid w:val="000A3860"/>
    <w:rsid w:val="000A4A6B"/>
    <w:rsid w:val="000A4DDB"/>
    <w:rsid w:val="000A51FA"/>
    <w:rsid w:val="000B0FF5"/>
    <w:rsid w:val="000B19D8"/>
    <w:rsid w:val="000B2E3A"/>
    <w:rsid w:val="000B3262"/>
    <w:rsid w:val="000B42DB"/>
    <w:rsid w:val="000B6FFE"/>
    <w:rsid w:val="000C2C98"/>
    <w:rsid w:val="000C6EB0"/>
    <w:rsid w:val="000D0645"/>
    <w:rsid w:val="000D0BE5"/>
    <w:rsid w:val="000D2B53"/>
    <w:rsid w:val="000D34A4"/>
    <w:rsid w:val="000D6D30"/>
    <w:rsid w:val="000E0E4C"/>
    <w:rsid w:val="000E3699"/>
    <w:rsid w:val="000E3C38"/>
    <w:rsid w:val="000F13C8"/>
    <w:rsid w:val="000F2A44"/>
    <w:rsid w:val="000F3B2F"/>
    <w:rsid w:val="00112ED2"/>
    <w:rsid w:val="0011377E"/>
    <w:rsid w:val="00113A65"/>
    <w:rsid w:val="0011619F"/>
    <w:rsid w:val="00116D6F"/>
    <w:rsid w:val="001178C4"/>
    <w:rsid w:val="00125211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B2E"/>
    <w:rsid w:val="001663B6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04CC"/>
    <w:rsid w:val="002220BC"/>
    <w:rsid w:val="00235808"/>
    <w:rsid w:val="0024027D"/>
    <w:rsid w:val="00241176"/>
    <w:rsid w:val="002418D7"/>
    <w:rsid w:val="002445E6"/>
    <w:rsid w:val="00244817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557E"/>
    <w:rsid w:val="002667BB"/>
    <w:rsid w:val="00283996"/>
    <w:rsid w:val="00284AC9"/>
    <w:rsid w:val="0028632F"/>
    <w:rsid w:val="0029019B"/>
    <w:rsid w:val="00295D64"/>
    <w:rsid w:val="0029711C"/>
    <w:rsid w:val="002A52DB"/>
    <w:rsid w:val="002B0D24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200D1"/>
    <w:rsid w:val="00324CEB"/>
    <w:rsid w:val="00324D0E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622B0"/>
    <w:rsid w:val="003630C2"/>
    <w:rsid w:val="00364996"/>
    <w:rsid w:val="00366439"/>
    <w:rsid w:val="003730FC"/>
    <w:rsid w:val="00375B49"/>
    <w:rsid w:val="003763F3"/>
    <w:rsid w:val="003808C3"/>
    <w:rsid w:val="00380913"/>
    <w:rsid w:val="0038117F"/>
    <w:rsid w:val="0038166F"/>
    <w:rsid w:val="00382535"/>
    <w:rsid w:val="00382B87"/>
    <w:rsid w:val="003873D4"/>
    <w:rsid w:val="0038748D"/>
    <w:rsid w:val="00390E7B"/>
    <w:rsid w:val="00394C76"/>
    <w:rsid w:val="00394FB5"/>
    <w:rsid w:val="00395810"/>
    <w:rsid w:val="003A67E4"/>
    <w:rsid w:val="003A74BE"/>
    <w:rsid w:val="003B00D0"/>
    <w:rsid w:val="003B0E17"/>
    <w:rsid w:val="003B3633"/>
    <w:rsid w:val="003B46AF"/>
    <w:rsid w:val="003B4A81"/>
    <w:rsid w:val="003B660A"/>
    <w:rsid w:val="003C54A3"/>
    <w:rsid w:val="003C70FF"/>
    <w:rsid w:val="003D028D"/>
    <w:rsid w:val="003D2F93"/>
    <w:rsid w:val="003D3AA2"/>
    <w:rsid w:val="003D3D86"/>
    <w:rsid w:val="003E0314"/>
    <w:rsid w:val="003E1ED6"/>
    <w:rsid w:val="003E6E55"/>
    <w:rsid w:val="003F3F46"/>
    <w:rsid w:val="003F6652"/>
    <w:rsid w:val="00405563"/>
    <w:rsid w:val="00406428"/>
    <w:rsid w:val="00411762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32DA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C1F"/>
    <w:rsid w:val="004B3E3D"/>
    <w:rsid w:val="004B53AA"/>
    <w:rsid w:val="004B6538"/>
    <w:rsid w:val="004C5AE8"/>
    <w:rsid w:val="004E0F2A"/>
    <w:rsid w:val="004E5289"/>
    <w:rsid w:val="005056CE"/>
    <w:rsid w:val="00507C44"/>
    <w:rsid w:val="00512B87"/>
    <w:rsid w:val="00512DBE"/>
    <w:rsid w:val="005134AD"/>
    <w:rsid w:val="0052682C"/>
    <w:rsid w:val="00526C69"/>
    <w:rsid w:val="00530997"/>
    <w:rsid w:val="005323D1"/>
    <w:rsid w:val="0053660E"/>
    <w:rsid w:val="00540592"/>
    <w:rsid w:val="005435D8"/>
    <w:rsid w:val="00545AE6"/>
    <w:rsid w:val="00547773"/>
    <w:rsid w:val="00550FF9"/>
    <w:rsid w:val="00553150"/>
    <w:rsid w:val="00560C47"/>
    <w:rsid w:val="00565282"/>
    <w:rsid w:val="00570EC4"/>
    <w:rsid w:val="00581797"/>
    <w:rsid w:val="00587B9C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4B9B"/>
    <w:rsid w:val="005F6D31"/>
    <w:rsid w:val="0060311C"/>
    <w:rsid w:val="00610567"/>
    <w:rsid w:val="00617135"/>
    <w:rsid w:val="0062007A"/>
    <w:rsid w:val="006215A9"/>
    <w:rsid w:val="00624CDB"/>
    <w:rsid w:val="00625144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57F3"/>
    <w:rsid w:val="0065387C"/>
    <w:rsid w:val="00653B38"/>
    <w:rsid w:val="00653C27"/>
    <w:rsid w:val="00660CE5"/>
    <w:rsid w:val="00664833"/>
    <w:rsid w:val="006657B0"/>
    <w:rsid w:val="00676A96"/>
    <w:rsid w:val="00684D45"/>
    <w:rsid w:val="00687088"/>
    <w:rsid w:val="00690D5F"/>
    <w:rsid w:val="00692262"/>
    <w:rsid w:val="00692B4F"/>
    <w:rsid w:val="006939DC"/>
    <w:rsid w:val="0069412E"/>
    <w:rsid w:val="006971AB"/>
    <w:rsid w:val="006A591B"/>
    <w:rsid w:val="006A7547"/>
    <w:rsid w:val="006A7DD4"/>
    <w:rsid w:val="006B2269"/>
    <w:rsid w:val="006C194E"/>
    <w:rsid w:val="006C3FA2"/>
    <w:rsid w:val="006C5AEA"/>
    <w:rsid w:val="006D039D"/>
    <w:rsid w:val="006D2EC2"/>
    <w:rsid w:val="006D5459"/>
    <w:rsid w:val="006D758D"/>
    <w:rsid w:val="006D7FD3"/>
    <w:rsid w:val="006E39AF"/>
    <w:rsid w:val="006E5962"/>
    <w:rsid w:val="006F0496"/>
    <w:rsid w:val="006F4606"/>
    <w:rsid w:val="006F4808"/>
    <w:rsid w:val="00717076"/>
    <w:rsid w:val="00721C6A"/>
    <w:rsid w:val="00723EF2"/>
    <w:rsid w:val="00724C82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A2291"/>
    <w:rsid w:val="007A3A04"/>
    <w:rsid w:val="007A476E"/>
    <w:rsid w:val="007A7091"/>
    <w:rsid w:val="007A70AC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62EE2"/>
    <w:rsid w:val="008735EB"/>
    <w:rsid w:val="00875390"/>
    <w:rsid w:val="0088295D"/>
    <w:rsid w:val="00884EAF"/>
    <w:rsid w:val="00886149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45AE"/>
    <w:rsid w:val="008D5446"/>
    <w:rsid w:val="008D6D5C"/>
    <w:rsid w:val="008E67AB"/>
    <w:rsid w:val="008E6AA3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4626"/>
    <w:rsid w:val="00946F93"/>
    <w:rsid w:val="009475E7"/>
    <w:rsid w:val="00953DA8"/>
    <w:rsid w:val="00961A49"/>
    <w:rsid w:val="0097156F"/>
    <w:rsid w:val="009730C0"/>
    <w:rsid w:val="00974960"/>
    <w:rsid w:val="00976D78"/>
    <w:rsid w:val="00987D6A"/>
    <w:rsid w:val="009916B2"/>
    <w:rsid w:val="00991A2D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D3844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34CE"/>
    <w:rsid w:val="009F7FDD"/>
    <w:rsid w:val="00A06D23"/>
    <w:rsid w:val="00A07026"/>
    <w:rsid w:val="00A11E31"/>
    <w:rsid w:val="00A13E39"/>
    <w:rsid w:val="00A145FD"/>
    <w:rsid w:val="00A178A6"/>
    <w:rsid w:val="00A21282"/>
    <w:rsid w:val="00A25662"/>
    <w:rsid w:val="00A41015"/>
    <w:rsid w:val="00A415C9"/>
    <w:rsid w:val="00A438E9"/>
    <w:rsid w:val="00A461CD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3FFD"/>
    <w:rsid w:val="00AD6D97"/>
    <w:rsid w:val="00AD7E6F"/>
    <w:rsid w:val="00AE0EB2"/>
    <w:rsid w:val="00AE384F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454F"/>
    <w:rsid w:val="00B27784"/>
    <w:rsid w:val="00B27DEA"/>
    <w:rsid w:val="00B312CC"/>
    <w:rsid w:val="00B314A7"/>
    <w:rsid w:val="00B45373"/>
    <w:rsid w:val="00B6743A"/>
    <w:rsid w:val="00B7215E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2416"/>
    <w:rsid w:val="00BC63DA"/>
    <w:rsid w:val="00BC7D82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398F"/>
    <w:rsid w:val="00CE4BD1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CAD"/>
    <w:rsid w:val="00D51760"/>
    <w:rsid w:val="00D5276D"/>
    <w:rsid w:val="00D527C8"/>
    <w:rsid w:val="00D61B68"/>
    <w:rsid w:val="00D64253"/>
    <w:rsid w:val="00D6706D"/>
    <w:rsid w:val="00D70771"/>
    <w:rsid w:val="00D71A08"/>
    <w:rsid w:val="00D74659"/>
    <w:rsid w:val="00D851A7"/>
    <w:rsid w:val="00D876B9"/>
    <w:rsid w:val="00D97D0E"/>
    <w:rsid w:val="00DA0264"/>
    <w:rsid w:val="00DA2DFA"/>
    <w:rsid w:val="00DA348F"/>
    <w:rsid w:val="00DA7D03"/>
    <w:rsid w:val="00DB23B8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4905"/>
    <w:rsid w:val="00E066DB"/>
    <w:rsid w:val="00E06FF2"/>
    <w:rsid w:val="00E1076E"/>
    <w:rsid w:val="00E10FAF"/>
    <w:rsid w:val="00E11FCD"/>
    <w:rsid w:val="00E25163"/>
    <w:rsid w:val="00E31C06"/>
    <w:rsid w:val="00E41096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071"/>
    <w:rsid w:val="00EA2DAB"/>
    <w:rsid w:val="00EA724C"/>
    <w:rsid w:val="00EB08BC"/>
    <w:rsid w:val="00EB1065"/>
    <w:rsid w:val="00EB16E7"/>
    <w:rsid w:val="00EB28D1"/>
    <w:rsid w:val="00EB2A20"/>
    <w:rsid w:val="00EB3B81"/>
    <w:rsid w:val="00EC3519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18E4"/>
    <w:rsid w:val="00EF1AAC"/>
    <w:rsid w:val="00EF401E"/>
    <w:rsid w:val="00F00065"/>
    <w:rsid w:val="00F07BBC"/>
    <w:rsid w:val="00F11671"/>
    <w:rsid w:val="00F138C5"/>
    <w:rsid w:val="00F14090"/>
    <w:rsid w:val="00F1494B"/>
    <w:rsid w:val="00F15AF9"/>
    <w:rsid w:val="00F2316E"/>
    <w:rsid w:val="00F3484E"/>
    <w:rsid w:val="00F36768"/>
    <w:rsid w:val="00F37C07"/>
    <w:rsid w:val="00F409AE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70CB9"/>
    <w:rsid w:val="00F80D51"/>
    <w:rsid w:val="00F90AE9"/>
    <w:rsid w:val="00F91D4F"/>
    <w:rsid w:val="00FA09E2"/>
    <w:rsid w:val="00FA1300"/>
    <w:rsid w:val="00FA17EE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D16B4"/>
    <w:rsid w:val="00FE1502"/>
    <w:rsid w:val="00FE2E42"/>
    <w:rsid w:val="00FE38E1"/>
    <w:rsid w:val="00FE5675"/>
    <w:rsid w:val="00FF0F1F"/>
    <w:rsid w:val="00FF122C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D24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445E6"/>
    <w:pPr>
      <w:keepNext/>
      <w:keepLines/>
      <w:spacing w:after="0"/>
      <w:ind w:left="851"/>
      <w:jc w:val="center"/>
      <w:outlineLvl w:val="0"/>
    </w:pPr>
    <w:rPr>
      <w:rFonts w:ascii="Calibri" w:eastAsiaTheme="majorEastAsia" w:hAnsi="Calibri" w:cstheme="majorBidi"/>
      <w:bCs/>
    </w:rPr>
  </w:style>
  <w:style w:type="character" w:customStyle="1" w:styleId="PodkapitolaChar">
    <w:name w:val="Podkapitola Char"/>
    <w:basedOn w:val="Standardnpsmoodstavce"/>
    <w:link w:val="Podkapitola"/>
    <w:rsid w:val="002445E6"/>
    <w:rPr>
      <w:rFonts w:ascii="Calibri" w:eastAsiaTheme="majorEastAsia" w:hAnsi="Calibri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N:\RNDr+PhD\excel%20do%20rigorozky\graf%20z&#225;visloti%20periody%20kyvadla%20na%20d&#233;lce%20kyvad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Závislost periody na délce kyvadla</a:t>
            </a:r>
          </a:p>
        </c:rich>
      </c:tx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power"/>
            <c:dispEq val="1"/>
            <c:trendlineLbl>
              <c:layout>
                <c:manualLayout>
                  <c:x val="-5.3297362419861452E-2"/>
                  <c:y val="-2.646505007769564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/>
                      <a:t>y = 1,0183x</a:t>
                    </a:r>
                    <a:r>
                      <a:rPr lang="en-US" sz="1200" baseline="30000"/>
                      <a:t>0,5074</a:t>
                    </a:r>
                    <a:endParaRPr lang="en-US" sz="1200"/>
                  </a:p>
                </c:rich>
              </c:tx>
              <c:numFmt formatCode="General" sourceLinked="0"/>
            </c:trendlineLbl>
          </c:trendline>
          <c:xVal>
            <c:numRef>
              <c:f>List1!$A$1:$A$15</c:f>
              <c:numCache>
                <c:formatCode>General</c:formatCode>
                <c:ptCount val="15"/>
                <c:pt idx="0">
                  <c:v>0.19000000000000011</c:v>
                </c:pt>
                <c:pt idx="1">
                  <c:v>0.19000000000000011</c:v>
                </c:pt>
                <c:pt idx="2">
                  <c:v>0.19000000000000011</c:v>
                </c:pt>
                <c:pt idx="3">
                  <c:v>0.19000000000000011</c:v>
                </c:pt>
                <c:pt idx="4">
                  <c:v>0.19000000000000011</c:v>
                </c:pt>
                <c:pt idx="5">
                  <c:v>0.35000000000000031</c:v>
                </c:pt>
                <c:pt idx="6">
                  <c:v>0.35000000000000031</c:v>
                </c:pt>
                <c:pt idx="7">
                  <c:v>0.35000000000000031</c:v>
                </c:pt>
                <c:pt idx="8">
                  <c:v>0.35000000000000031</c:v>
                </c:pt>
                <c:pt idx="9">
                  <c:v>0.35000000000000031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</c:numCache>
            </c:numRef>
          </c:xVal>
          <c:yVal>
            <c:numRef>
              <c:f>List1!$B$1:$B$15</c:f>
              <c:numCache>
                <c:formatCode>General</c:formatCode>
                <c:ptCount val="15"/>
                <c:pt idx="0">
                  <c:v>0.45800000000000002</c:v>
                </c:pt>
                <c:pt idx="1">
                  <c:v>0.45800000000000002</c:v>
                </c:pt>
                <c:pt idx="2">
                  <c:v>0.43100000000000038</c:v>
                </c:pt>
                <c:pt idx="3">
                  <c:v>0.43200000000000038</c:v>
                </c:pt>
                <c:pt idx="4">
                  <c:v>0.43200000000000038</c:v>
                </c:pt>
                <c:pt idx="5">
                  <c:v>0.59000000000000041</c:v>
                </c:pt>
                <c:pt idx="6">
                  <c:v>0.58600000000000041</c:v>
                </c:pt>
                <c:pt idx="7">
                  <c:v>0.58700000000000041</c:v>
                </c:pt>
                <c:pt idx="8">
                  <c:v>0.58600000000000041</c:v>
                </c:pt>
                <c:pt idx="9">
                  <c:v>0.57500000000000062</c:v>
                </c:pt>
                <c:pt idx="10">
                  <c:v>0.72500000000000064</c:v>
                </c:pt>
                <c:pt idx="11">
                  <c:v>0.72800000000000065</c:v>
                </c:pt>
                <c:pt idx="12">
                  <c:v>0.72600000000000064</c:v>
                </c:pt>
                <c:pt idx="13">
                  <c:v>0.72700000000000065</c:v>
                </c:pt>
                <c:pt idx="14">
                  <c:v>0.72600000000000064</c:v>
                </c:pt>
              </c:numCache>
            </c:numRef>
          </c:yVal>
        </c:ser>
        <c:axId val="87025152"/>
        <c:axId val="87027072"/>
      </c:scatterChart>
      <c:valAx>
        <c:axId val="870251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délka kyvadla l (m)</a:t>
                </a:r>
              </a:p>
            </c:rich>
          </c:tx>
        </c:title>
        <c:numFmt formatCode="General" sourceLinked="1"/>
        <c:majorTickMark val="none"/>
        <c:tickLblPos val="nextTo"/>
        <c:crossAx val="87027072"/>
        <c:crosses val="autoZero"/>
        <c:crossBetween val="midCat"/>
      </c:valAx>
      <c:valAx>
        <c:axId val="870270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Perioda</a:t>
                </a:r>
                <a:r>
                  <a:rPr lang="cs-CZ" baseline="0"/>
                  <a:t> T (s)</a:t>
                </a:r>
                <a:endParaRPr lang="cs-CZ"/>
              </a:p>
            </c:rich>
          </c:tx>
        </c:title>
        <c:numFmt formatCode="General" sourceLinked="1"/>
        <c:majorTickMark val="none"/>
        <c:tickLblPos val="nextTo"/>
        <c:crossAx val="8702515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dcterms:created xsi:type="dcterms:W3CDTF">2013-03-13T14:30:00Z</dcterms:created>
  <dcterms:modified xsi:type="dcterms:W3CDTF">2013-03-13T16:07:00Z</dcterms:modified>
</cp:coreProperties>
</file>