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9A1" w:rsidRDefault="00E209A1" w:rsidP="00133D7E">
      <w:pPr>
        <w:pStyle w:val="Podkapitola"/>
      </w:pPr>
      <w:bookmarkStart w:id="0" w:name="_Toc429589057"/>
      <w:r>
        <w:t>Měření zrychlení na nakloněné rovině</w:t>
      </w:r>
      <w:bookmarkEnd w:id="0"/>
    </w:p>
    <w:p w:rsidR="00E209A1" w:rsidRPr="001619D3" w:rsidRDefault="00E209A1" w:rsidP="00E209A1">
      <w:pPr>
        <w:rPr>
          <w:rFonts w:ascii="Times New Roman" w:hAnsi="Times New Roman" w:cs="Times New Roman"/>
        </w:rPr>
      </w:pPr>
      <w:r>
        <w:rPr>
          <w:rFonts w:ascii="Times New Roman" w:hAnsi="Times New Roman" w:cs="Times New Roman"/>
        </w:rPr>
        <w:br/>
      </w:r>
      <w:r w:rsidRPr="001619D3">
        <w:rPr>
          <w:rFonts w:ascii="Times New Roman" w:hAnsi="Times New Roman" w:cs="Times New Roman"/>
        </w:rPr>
        <w:t>Online:</w:t>
      </w:r>
      <w:r>
        <w:rPr>
          <w:rFonts w:ascii="Times New Roman" w:hAnsi="Times New Roman" w:cs="Times New Roman"/>
        </w:rPr>
        <w:t xml:space="preserve"> </w:t>
      </w:r>
      <w:hyperlink r:id="rId5" w:history="1">
        <w:r w:rsidRPr="009E755A">
          <w:rPr>
            <w:rStyle w:val="Hypertextovodkaz"/>
            <w:rFonts w:ascii="Times New Roman" w:hAnsi="Times New Roman" w:cs="Times New Roman"/>
          </w:rPr>
          <w:t>http://www.sclpx.eu/lab1R.php?exp=5</w:t>
        </w:r>
      </w:hyperlink>
      <w:r>
        <w:rPr>
          <w:rFonts w:ascii="Times New Roman" w:hAnsi="Times New Roman" w:cs="Times New Roman"/>
        </w:rPr>
        <w:t xml:space="preserve"> </w:t>
      </w:r>
    </w:p>
    <w:p w:rsidR="00E209A1" w:rsidRPr="006D1CE3" w:rsidRDefault="00E209A1" w:rsidP="00E209A1">
      <w:pPr>
        <w:pStyle w:val="Bntextrga"/>
        <w:spacing w:line="360" w:lineRule="auto"/>
        <w:ind w:firstLine="709"/>
        <w:jc w:val="both"/>
      </w:pPr>
      <w:r>
        <w:t xml:space="preserve">Při návrhu tohoto experimentu jsme vyšli z jeho klasického pojetí uvedeného v </w:t>
      </w:r>
      <w:r w:rsidRPr="00E209A1">
        <w:t xml:space="preserve">[4]. </w:t>
      </w:r>
      <w:r>
        <w:t>Protože jsme se snažili optimalizovat každý experiment z pohledu nákladů na použité pomůcky, museli jeho realizaci navrhnout tak, aby bylo možné použít jen jednu optickou bránu (dále jen monogate). Detailní popis monogatu a stereogatu je uveden v kapitole 6. Máme-li k dispozici jen jeden monogate, musíme při pohybu tělesa přerušit laserový parsek minimálně dva krát. Toho jsme docílili tím, že jsme na dřevěný hranol pomocí modelíny připevnili hřeben vyrobený z tvrdého kartonového papíru, který měl několik zubů o konstantní šířce 1 cm. Zubem bude nadále v celé práci myšlena nikoliv část papíru, ale vzduchová mezera, která umožňuje dopad laserového paprsku na solární článek.</w:t>
      </w:r>
    </w:p>
    <w:p w:rsidR="00E209A1" w:rsidRPr="00783D89" w:rsidRDefault="00E209A1" w:rsidP="00E209A1">
      <w:pPr>
        <w:pStyle w:val="Bntextrga"/>
        <w:rPr>
          <w:rFonts w:eastAsiaTheme="minorEastAsia"/>
          <w:b/>
          <w:szCs w:val="24"/>
        </w:rPr>
      </w:pPr>
      <w:r w:rsidRPr="00783D89">
        <w:rPr>
          <w:rFonts w:eastAsiaTheme="minorEastAsia"/>
          <w:b/>
          <w:szCs w:val="24"/>
        </w:rPr>
        <w:t>Úvod</w:t>
      </w:r>
    </w:p>
    <w:p w:rsidR="00E209A1" w:rsidRDefault="00E209A1" w:rsidP="00E209A1">
      <w:pPr>
        <w:pStyle w:val="Bntextrga"/>
        <w:spacing w:line="360" w:lineRule="auto"/>
        <w:jc w:val="both"/>
        <w:rPr>
          <w:rFonts w:eastAsiaTheme="minorEastAsia"/>
          <w:szCs w:val="24"/>
        </w:rPr>
      </w:pPr>
      <w:r>
        <w:rPr>
          <w:rFonts w:eastAsiaTheme="minorEastAsia"/>
          <w:szCs w:val="24"/>
        </w:rPr>
        <w:t xml:space="preserve">Pokud se těleso po nakloněné rovině pohybuje se zrychlením, narůstá jeho rychlost. Máme-li tedy těleso, např. dřevěný hranol, na který připevníme papírový hřeben se stejně širokými zuby, které sjíždí po nakloněné rovině, můžeme ve dvou různých okamžicích zaznamenat průchod prvního a posledního zubu laserovým paprskem. Při stejné šířce zubů pak můžeme vypočítat hodnotu okamžité rychlosti každého zubu </w:t>
      </w:r>
      <m:oMath>
        <m:sSub>
          <m:sSubPr>
            <m:ctrlPr>
              <w:rPr>
                <w:rFonts w:ascii="Cambria Math" w:eastAsiaTheme="minorEastAsia" w:hAnsi="Cambria Math"/>
                <w:i/>
                <w:szCs w:val="24"/>
              </w:rPr>
            </m:ctrlPr>
          </m:sSubPr>
          <m:e>
            <m:r>
              <w:rPr>
                <w:rFonts w:ascii="Cambria Math" w:eastAsiaTheme="minorEastAsia" w:hAnsi="Cambria Math"/>
                <w:szCs w:val="24"/>
              </w:rPr>
              <m:t>v</m:t>
            </m:r>
          </m:e>
          <m:sub>
            <m:r>
              <w:rPr>
                <w:rFonts w:ascii="Cambria Math" w:eastAsiaTheme="minorEastAsia" w:hAnsi="Cambria Math"/>
                <w:szCs w:val="24"/>
              </w:rPr>
              <m:t>1</m:t>
            </m:r>
          </m:sub>
        </m:sSub>
      </m:oMath>
      <w:r>
        <w:rPr>
          <w:rFonts w:eastAsiaTheme="minorEastAsia"/>
          <w:szCs w:val="24"/>
        </w:rPr>
        <w:t xml:space="preserve">, resp. </w:t>
      </w:r>
      <m:oMath>
        <m:sSub>
          <m:sSubPr>
            <m:ctrlPr>
              <w:rPr>
                <w:rFonts w:ascii="Cambria Math" w:eastAsiaTheme="minorEastAsia" w:hAnsi="Cambria Math"/>
                <w:i/>
                <w:szCs w:val="24"/>
              </w:rPr>
            </m:ctrlPr>
          </m:sSubPr>
          <m:e>
            <m:r>
              <w:rPr>
                <w:rFonts w:ascii="Cambria Math" w:eastAsiaTheme="minorEastAsia" w:hAnsi="Cambria Math"/>
                <w:szCs w:val="24"/>
              </w:rPr>
              <m:t>v</m:t>
            </m:r>
          </m:e>
          <m:sub>
            <m:r>
              <w:rPr>
                <w:rFonts w:ascii="Cambria Math" w:eastAsiaTheme="minorEastAsia" w:hAnsi="Cambria Math"/>
                <w:szCs w:val="24"/>
              </w:rPr>
              <m:t>n</m:t>
            </m:r>
          </m:sub>
        </m:sSub>
      </m:oMath>
      <w:r>
        <w:rPr>
          <w:rFonts w:eastAsiaTheme="minorEastAsia"/>
          <w:szCs w:val="24"/>
        </w:rPr>
        <w:t xml:space="preserve"> (</w:t>
      </w:r>
      <w:r>
        <w:rPr>
          <w:rFonts w:eastAsiaTheme="minorEastAsia"/>
          <w:i/>
          <w:szCs w:val="24"/>
        </w:rPr>
        <w:t>n</w:t>
      </w:r>
      <w:r>
        <w:rPr>
          <w:rFonts w:eastAsiaTheme="minorEastAsia"/>
          <w:szCs w:val="24"/>
        </w:rPr>
        <w:t xml:space="preserve"> = 2, 3, 4, …) z jednoduchého vztahu </w:t>
      </w:r>
      <m:oMath>
        <m:sSub>
          <m:sSubPr>
            <m:ctrlPr>
              <w:rPr>
                <w:rFonts w:ascii="Cambria Math" w:eastAsiaTheme="minorEastAsia" w:hAnsi="Cambria Math"/>
                <w:i/>
                <w:szCs w:val="24"/>
              </w:rPr>
            </m:ctrlPr>
          </m:sSubPr>
          <m:e>
            <m:r>
              <w:rPr>
                <w:rFonts w:ascii="Cambria Math" w:eastAsiaTheme="minorEastAsia" w:hAnsi="Cambria Math"/>
                <w:szCs w:val="24"/>
              </w:rPr>
              <m:t>v</m:t>
            </m:r>
          </m:e>
          <m:sub>
            <m:r>
              <w:rPr>
                <w:rFonts w:ascii="Cambria Math" w:eastAsiaTheme="minorEastAsia" w:hAnsi="Cambria Math"/>
                <w:szCs w:val="24"/>
              </w:rPr>
              <m:t>n</m:t>
            </m:r>
          </m:sub>
        </m:sSub>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d</m:t>
            </m:r>
          </m:num>
          <m:den>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n</m:t>
                </m:r>
              </m:sub>
            </m:sSub>
          </m:den>
        </m:f>
      </m:oMath>
      <w:r>
        <w:rPr>
          <w:rFonts w:eastAsiaTheme="minorEastAsia"/>
          <w:szCs w:val="24"/>
        </w:rPr>
        <w:t xml:space="preserve">, kde d je šířka zubu (v našem případě </w:t>
      </w:r>
      <m:oMath>
        <m:r>
          <w:rPr>
            <w:rFonts w:ascii="Cambria Math" w:eastAsiaTheme="minorEastAsia" w:hAnsi="Cambria Math"/>
            <w:szCs w:val="24"/>
          </w:rPr>
          <m:t>d=1</m:t>
        </m:r>
      </m:oMath>
      <w:r>
        <w:rPr>
          <w:rFonts w:eastAsiaTheme="minorEastAsia"/>
          <w:szCs w:val="24"/>
        </w:rPr>
        <w:t xml:space="preserve"> cm),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n</m:t>
            </m:r>
          </m:sub>
        </m:sSub>
      </m:oMath>
      <w:r>
        <w:rPr>
          <w:rFonts w:eastAsiaTheme="minorEastAsia"/>
          <w:szCs w:val="24"/>
        </w:rPr>
        <w:t xml:space="preserve"> je čas, za který </w:t>
      </w:r>
      <m:oMath>
        <m:r>
          <w:rPr>
            <w:rFonts w:ascii="Cambria Math" w:eastAsiaTheme="minorEastAsia" w:hAnsi="Cambria Math"/>
            <w:szCs w:val="24"/>
          </w:rPr>
          <m:t>n-</m:t>
        </m:r>
      </m:oMath>
      <w:r>
        <w:rPr>
          <w:rFonts w:eastAsiaTheme="minorEastAsia"/>
          <w:szCs w:val="24"/>
        </w:rPr>
        <w:t xml:space="preserve">tý zub projde monogatem. Tyto časy zjistíme pomocí FAE. Zrychlení potom určíme z jeho definice: </w:t>
      </w:r>
      <m:oMath>
        <m:r>
          <w:rPr>
            <w:rFonts w:ascii="Cambria Math" w:eastAsiaTheme="minorEastAsia" w:hAnsi="Cambria Math"/>
            <w:szCs w:val="24"/>
          </w:rPr>
          <m:t>a=</m:t>
        </m:r>
        <m:f>
          <m:fPr>
            <m:ctrlPr>
              <w:rPr>
                <w:rFonts w:ascii="Cambria Math" w:eastAsiaTheme="minorEastAsia" w:hAnsi="Cambria Math"/>
                <w:i/>
                <w:szCs w:val="24"/>
              </w:rPr>
            </m:ctrlPr>
          </m:fPr>
          <m:num>
            <m:r>
              <w:rPr>
                <w:rFonts w:ascii="Cambria Math" w:eastAsiaTheme="minorEastAsia" w:hAnsi="Cambria Math"/>
                <w:szCs w:val="24"/>
              </w:rPr>
              <m:t>∆v</m:t>
            </m:r>
          </m:num>
          <m:den>
            <m:r>
              <w:rPr>
                <w:rFonts w:ascii="Cambria Math" w:eastAsiaTheme="minorEastAsia" w:hAnsi="Cambria Math"/>
                <w:szCs w:val="24"/>
              </w:rPr>
              <m:t>∆t</m:t>
            </m:r>
          </m:den>
        </m:f>
      </m:oMath>
      <w:r>
        <w:rPr>
          <w:rFonts w:eastAsiaTheme="minorEastAsia"/>
          <w:szCs w:val="24"/>
        </w:rPr>
        <w:t xml:space="preserve">, kde </w:t>
      </w:r>
      <m:oMath>
        <m:r>
          <w:rPr>
            <w:rFonts w:ascii="Cambria Math" w:eastAsiaTheme="minorEastAsia" w:hAnsi="Cambria Math"/>
            <w:szCs w:val="24"/>
          </w:rPr>
          <m:t>∆v=</m:t>
        </m:r>
        <m:sSub>
          <m:sSubPr>
            <m:ctrlPr>
              <w:rPr>
                <w:rFonts w:ascii="Cambria Math" w:eastAsiaTheme="minorEastAsia" w:hAnsi="Cambria Math"/>
                <w:i/>
                <w:szCs w:val="24"/>
              </w:rPr>
            </m:ctrlPr>
          </m:sSubPr>
          <m:e>
            <m:r>
              <w:rPr>
                <w:rFonts w:ascii="Cambria Math" w:eastAsiaTheme="minorEastAsia" w:hAnsi="Cambria Math"/>
                <w:szCs w:val="24"/>
              </w:rPr>
              <m:t>v</m:t>
            </m:r>
          </m:e>
          <m:sub>
            <m:r>
              <w:rPr>
                <w:rFonts w:ascii="Cambria Math" w:eastAsiaTheme="minorEastAsia" w:hAnsi="Cambria Math"/>
                <w:szCs w:val="24"/>
              </w:rPr>
              <m:t>n</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v</m:t>
            </m:r>
          </m:e>
          <m:sub>
            <m:r>
              <w:rPr>
                <w:rFonts w:ascii="Cambria Math" w:eastAsiaTheme="minorEastAsia" w:hAnsi="Cambria Math"/>
                <w:szCs w:val="24"/>
              </w:rPr>
              <m:t>1</m:t>
            </m:r>
          </m:sub>
        </m:sSub>
      </m:oMath>
      <w:r>
        <w:rPr>
          <w:rFonts w:eastAsiaTheme="minorEastAsia"/>
          <w:szCs w:val="24"/>
        </w:rPr>
        <w:t>a</w:t>
      </w:r>
      <w:r w:rsidR="00133D7E">
        <w:rPr>
          <w:rFonts w:eastAsiaTheme="minorEastAsia"/>
          <w:szCs w:val="24"/>
        </w:rPr>
        <w:t xml:space="preserve"> hodnotu</w:t>
      </w:r>
      <w:r>
        <w:rPr>
          <w:rFonts w:eastAsiaTheme="minorEastAsia"/>
          <w:szCs w:val="24"/>
        </w:rPr>
        <w:t xml:space="preserve"> </w:t>
      </w:r>
      <m:oMath>
        <m:r>
          <w:rPr>
            <w:rFonts w:ascii="Cambria Math" w:eastAsiaTheme="minorEastAsia" w:hAnsi="Cambria Math"/>
            <w:szCs w:val="24"/>
          </w:rPr>
          <m:t>∆t</m:t>
        </m:r>
      </m:oMath>
      <w:r w:rsidR="00133D7E">
        <w:rPr>
          <w:rFonts w:eastAsiaTheme="minorEastAsia"/>
          <w:szCs w:val="24"/>
        </w:rPr>
        <w:t xml:space="preserve"> určíme </w:t>
      </w:r>
      <w:r>
        <w:rPr>
          <w:rFonts w:eastAsiaTheme="minorEastAsia"/>
          <w:szCs w:val="24"/>
        </w:rPr>
        <w:t xml:space="preserve">přímo v záznamu signálu pomocí FAE jako čas mezi prvním a </w:t>
      </w:r>
      <m:oMath>
        <m:r>
          <w:rPr>
            <w:rFonts w:ascii="Cambria Math" w:eastAsiaTheme="minorEastAsia" w:hAnsi="Cambria Math"/>
            <w:szCs w:val="24"/>
          </w:rPr>
          <m:t>n-</m:t>
        </m:r>
      </m:oMath>
      <w:r w:rsidR="00133D7E">
        <w:rPr>
          <w:rFonts w:eastAsiaTheme="minorEastAsia"/>
          <w:szCs w:val="24"/>
        </w:rPr>
        <w:t>tým píkem, který obvykle určujeme na náběžné hraně píku</w:t>
      </w:r>
      <w:r>
        <w:rPr>
          <w:rFonts w:eastAsiaTheme="minorEastAsia"/>
          <w:szCs w:val="24"/>
        </w:rPr>
        <w:t>.</w:t>
      </w:r>
    </w:p>
    <w:p w:rsidR="00E209A1" w:rsidRDefault="00E209A1" w:rsidP="00E209A1">
      <w:pPr>
        <w:pStyle w:val="Bntextrga"/>
        <w:spacing w:line="360" w:lineRule="auto"/>
        <w:jc w:val="both"/>
        <w:rPr>
          <w:rFonts w:eastAsiaTheme="minorEastAsia"/>
          <w:szCs w:val="24"/>
        </w:rPr>
      </w:pPr>
      <w:r>
        <w:rPr>
          <w:rFonts w:eastAsiaTheme="minorEastAsia"/>
          <w:b/>
          <w:szCs w:val="24"/>
        </w:rPr>
        <w:t>Pomůcky:</w:t>
      </w:r>
      <w:r>
        <w:rPr>
          <w:rFonts w:eastAsiaTheme="minorEastAsia"/>
          <w:szCs w:val="24"/>
        </w:rPr>
        <w:t xml:space="preserve"> monogate, nakloněná rovina, dřevěný hranol, papírový hřeben, modelína, stativový materiál</w:t>
      </w:r>
    </w:p>
    <w:p w:rsidR="00E209A1" w:rsidRDefault="00E209A1" w:rsidP="00E209A1">
      <w:pPr>
        <w:pStyle w:val="Bntextrga"/>
        <w:spacing w:line="360" w:lineRule="auto"/>
        <w:rPr>
          <w:rFonts w:eastAsiaTheme="minorEastAsia"/>
          <w:szCs w:val="24"/>
        </w:rPr>
      </w:pPr>
      <w:r>
        <w:rPr>
          <w:rFonts w:eastAsiaTheme="minorEastAsia"/>
          <w:b/>
          <w:szCs w:val="24"/>
        </w:rPr>
        <w:t>Postup práce</w:t>
      </w:r>
    </w:p>
    <w:p w:rsidR="00E209A1" w:rsidRDefault="00E209A1" w:rsidP="00E209A1">
      <w:pPr>
        <w:pStyle w:val="Bntextrga"/>
        <w:spacing w:line="360" w:lineRule="auto"/>
        <w:jc w:val="both"/>
        <w:rPr>
          <w:rFonts w:eastAsiaTheme="minorEastAsia"/>
          <w:szCs w:val="24"/>
        </w:rPr>
      </w:pPr>
      <w:r>
        <w:rPr>
          <w:rFonts w:eastAsiaTheme="minorEastAsia"/>
          <w:szCs w:val="24"/>
        </w:rPr>
        <w:t>Uspořádání experimentu je patrné z obrázku 1.1.1. Pomocí stativového materiálu ukotvíme nejprve nakloněnou rovinu. Na dřevěný hranol připevníme pomocí modelíny papírový hřeben. Monogate nastavíme tak, aby laserový paprsek protínal při pohybu tělesa po nakloněné rovině zuby hřebenu. Hranol umístíme na horní konec nakloněné roviny, spustíme program FAE a necháme hranol volně klouzat po nakloněné rovině dolů.</w:t>
      </w:r>
    </w:p>
    <w:p w:rsidR="00E209A1" w:rsidRDefault="00E209A1" w:rsidP="00E209A1">
      <w:pPr>
        <w:pStyle w:val="Bntextrga"/>
        <w:spacing w:line="360" w:lineRule="auto"/>
        <w:jc w:val="both"/>
        <w:rPr>
          <w:rFonts w:eastAsiaTheme="minorEastAsia"/>
          <w:szCs w:val="24"/>
        </w:rPr>
      </w:pPr>
      <w:r>
        <w:rPr>
          <w:rFonts w:eastAsiaTheme="minorEastAsia"/>
          <w:szCs w:val="24"/>
        </w:rPr>
        <w:lastRenderedPageBreak/>
        <w:tab/>
        <w:t xml:space="preserve">Záznam signálu ve FAE s vyznačením oblasti prvního zubu je na obr. 1.1.2, šestý zub je zobrazen na obr. 1.1.3. Pomocí myši provedeme nejprve výběr oblasti, která odpovídá průchodu prvního zubu monogatem. V okénku </w:t>
      </w:r>
      <w:proofErr w:type="spellStart"/>
      <w:r w:rsidRPr="0013328C">
        <w:rPr>
          <w:rFonts w:eastAsiaTheme="minorEastAsia"/>
          <w:i/>
          <w:szCs w:val="24"/>
        </w:rPr>
        <w:t>Length</w:t>
      </w:r>
      <w:proofErr w:type="spellEnd"/>
      <w:r>
        <w:rPr>
          <w:rFonts w:eastAsiaTheme="minorEastAsia"/>
          <w:szCs w:val="24"/>
        </w:rPr>
        <w:t xml:space="preserve"> zjistíme čas průchodu prvního zubu monogatem. Obdobným způsobem určíme čas průchodu šestého zubu. Hodnoty zapíšeme do tabulky a vypočítáme odpovídající okamžité rychlosti obou zubů a jejich rozdíl </w:t>
      </w:r>
      <m:oMath>
        <m:r>
          <w:rPr>
            <w:rFonts w:ascii="Cambria Math" w:eastAsiaTheme="minorEastAsia" w:hAnsi="Cambria Math"/>
            <w:szCs w:val="24"/>
          </w:rPr>
          <m:t>∆v</m:t>
        </m:r>
      </m:oMath>
      <w:r>
        <w:rPr>
          <w:rFonts w:eastAsiaTheme="minorEastAsia"/>
          <w:szCs w:val="24"/>
        </w:rPr>
        <w:t xml:space="preserve">. Pak pomocí FAE určíme ještě časový interval </w:t>
      </w:r>
      <m:oMath>
        <m:r>
          <w:rPr>
            <w:rFonts w:ascii="Cambria Math" w:eastAsiaTheme="minorEastAsia" w:hAnsi="Cambria Math"/>
            <w:szCs w:val="24"/>
          </w:rPr>
          <m:t>∆t</m:t>
        </m:r>
      </m:oMath>
      <w:r>
        <w:rPr>
          <w:rFonts w:eastAsiaTheme="minorEastAsia"/>
          <w:szCs w:val="24"/>
        </w:rPr>
        <w:t xml:space="preserve">  mezi průchodem prvního a šestého zubu monogatem, viz obr. 1.1.4. Z poměru </w:t>
      </w:r>
      <m:oMath>
        <m:r>
          <w:rPr>
            <w:rFonts w:ascii="Cambria Math" w:eastAsiaTheme="minorEastAsia" w:hAnsi="Cambria Math"/>
            <w:szCs w:val="24"/>
          </w:rPr>
          <m:t>∆v</m:t>
        </m:r>
      </m:oMath>
      <w:r>
        <w:rPr>
          <w:rFonts w:eastAsiaTheme="minorEastAsia"/>
          <w:szCs w:val="24"/>
        </w:rPr>
        <w:t xml:space="preserve"> a </w:t>
      </w:r>
      <m:oMath>
        <m:r>
          <w:rPr>
            <w:rFonts w:ascii="Cambria Math" w:eastAsiaTheme="minorEastAsia" w:hAnsi="Cambria Math"/>
            <w:szCs w:val="24"/>
          </w:rPr>
          <m:t>∆t</m:t>
        </m:r>
      </m:oMath>
      <w:r>
        <w:rPr>
          <w:rFonts w:eastAsiaTheme="minorEastAsia"/>
          <w:szCs w:val="24"/>
        </w:rPr>
        <w:t xml:space="preserve"> pak vypočítáme hodnotu zrychlení. Měření provedeme deset krát. Námi naměřené hodnoty jsou uvedeny v tabulce 1.1. Na závěr ještě v programu MS Excel určíme </w:t>
      </w:r>
      <w:r w:rsidR="00E62B5B">
        <w:rPr>
          <w:rFonts w:eastAsiaTheme="minorEastAsia"/>
          <w:szCs w:val="24"/>
        </w:rPr>
        <w:t>nejistoty</w:t>
      </w:r>
      <w:r>
        <w:rPr>
          <w:rFonts w:eastAsiaTheme="minorEastAsia"/>
          <w:szCs w:val="24"/>
        </w:rPr>
        <w:t xml:space="preserve"> měření jednotlivých měřených i počítaných veličin a vytvoříme graf vypočítaných hodnot zrychlení</w:t>
      </w:r>
      <w:r w:rsidR="00E62B5B">
        <w:rPr>
          <w:rFonts w:eastAsiaTheme="minorEastAsia"/>
          <w:szCs w:val="24"/>
        </w:rPr>
        <w:t>.</w:t>
      </w:r>
      <w:r>
        <w:rPr>
          <w:rFonts w:eastAsiaTheme="minorEastAsia"/>
          <w:szCs w:val="24"/>
        </w:rPr>
        <w:t xml:space="preserve"> Graf vytvořený na základě tabulky 1.1 je na obrázku 1.1.5. </w:t>
      </w:r>
    </w:p>
    <w:p w:rsidR="00E209A1" w:rsidRDefault="00E209A1" w:rsidP="00E209A1">
      <w:pPr>
        <w:pStyle w:val="Bntextrga"/>
        <w:spacing w:line="360" w:lineRule="auto"/>
        <w:rPr>
          <w:rFonts w:eastAsiaTheme="minorEastAsia"/>
          <w:szCs w:val="24"/>
        </w:rPr>
      </w:pPr>
      <w:r>
        <w:rPr>
          <w:rFonts w:eastAsiaTheme="minorEastAsia"/>
          <w:noProof/>
          <w:szCs w:val="24"/>
          <w:lang w:eastAsia="cs-CZ"/>
        </w:rPr>
        <w:drawing>
          <wp:inline distT="0" distB="0" distL="0" distR="0" wp14:anchorId="44B47965" wp14:editId="5AA201B7">
            <wp:extent cx="5760085" cy="32397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1_mereni_zrychleni_na_naklonene_rovin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E209A1" w:rsidRDefault="00E209A1" w:rsidP="00E209A1">
      <w:pPr>
        <w:pStyle w:val="Bntextrga"/>
        <w:spacing w:line="360" w:lineRule="auto"/>
        <w:jc w:val="center"/>
        <w:rPr>
          <w:rFonts w:eastAsiaTheme="minorEastAsia"/>
          <w:sz w:val="20"/>
          <w:szCs w:val="20"/>
        </w:rPr>
      </w:pPr>
      <w:r w:rsidRPr="007A2BCA">
        <w:rPr>
          <w:rFonts w:eastAsiaTheme="minorEastAsia"/>
          <w:sz w:val="20"/>
          <w:szCs w:val="20"/>
        </w:rPr>
        <w:t>Obr. 1.1.1 Uspořádání experimentu – Měření zrychlení na nakloněné rovině</w:t>
      </w:r>
    </w:p>
    <w:p w:rsidR="00E209A1" w:rsidRPr="00565792" w:rsidRDefault="00E209A1" w:rsidP="00E209A1">
      <w:pPr>
        <w:pStyle w:val="Bntextrga"/>
        <w:spacing w:line="360" w:lineRule="auto"/>
        <w:jc w:val="both"/>
        <w:rPr>
          <w:rFonts w:eastAsiaTheme="minorEastAsia"/>
          <w:szCs w:val="24"/>
        </w:rPr>
      </w:pPr>
      <w:r>
        <w:rPr>
          <w:rFonts w:eastAsiaTheme="minorEastAsia"/>
          <w:szCs w:val="24"/>
        </w:rPr>
        <w:t xml:space="preserve">Hodnoty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1</m:t>
            </m:r>
          </m:sub>
        </m:sSub>
      </m:oMath>
      <w:r>
        <w:rPr>
          <w:rFonts w:eastAsiaTheme="minorEastAsia"/>
          <w:szCs w:val="24"/>
        </w:rPr>
        <w:t xml:space="preserve"> a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6</m:t>
            </m:r>
          </m:sub>
        </m:sSub>
      </m:oMath>
      <w:r>
        <w:rPr>
          <w:rFonts w:eastAsiaTheme="minorEastAsia"/>
          <w:szCs w:val="24"/>
        </w:rPr>
        <w:t xml:space="preserve"> určujeme ve FAE na tři desetinná místa. Považujeme-li pro jednoduchost šířku zubu za absolutně přesnou, mají okamžité rychlosti stejnou relativní i absolutní </w:t>
      </w:r>
      <w:r w:rsidR="00E62B5B">
        <w:rPr>
          <w:rFonts w:eastAsiaTheme="minorEastAsia"/>
          <w:szCs w:val="24"/>
        </w:rPr>
        <w:t>nejistotu</w:t>
      </w:r>
      <w:r>
        <w:rPr>
          <w:rFonts w:eastAsiaTheme="minorEastAsia"/>
          <w:szCs w:val="24"/>
        </w:rPr>
        <w:t xml:space="preserve"> měření jako časy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1</m:t>
            </m:r>
          </m:sub>
        </m:sSub>
      </m:oMath>
      <w:r>
        <w:rPr>
          <w:rFonts w:eastAsiaTheme="minorEastAsia"/>
          <w:szCs w:val="24"/>
        </w:rPr>
        <w:t xml:space="preserve"> a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6</m:t>
            </m:r>
          </m:sub>
        </m:sSub>
      </m:oMath>
      <w:r>
        <w:rPr>
          <w:rFonts w:eastAsiaTheme="minorEastAsia"/>
          <w:szCs w:val="24"/>
        </w:rPr>
        <w:t xml:space="preserve">. Proto hodnoty </w:t>
      </w:r>
      <m:oMath>
        <m:sSub>
          <m:sSubPr>
            <m:ctrlPr>
              <w:rPr>
                <w:rFonts w:ascii="Cambria Math" w:eastAsiaTheme="minorEastAsia" w:hAnsi="Cambria Math"/>
                <w:i/>
                <w:szCs w:val="24"/>
              </w:rPr>
            </m:ctrlPr>
          </m:sSubPr>
          <m:e>
            <m:r>
              <w:rPr>
                <w:rFonts w:ascii="Cambria Math" w:eastAsiaTheme="minorEastAsia" w:hAnsi="Cambria Math"/>
                <w:szCs w:val="24"/>
              </w:rPr>
              <m:t>v</m:t>
            </m:r>
          </m:e>
          <m:sub>
            <m:r>
              <w:rPr>
                <w:rFonts w:ascii="Cambria Math" w:eastAsiaTheme="minorEastAsia" w:hAnsi="Cambria Math"/>
                <w:szCs w:val="24"/>
              </w:rPr>
              <m:t>1</m:t>
            </m:r>
          </m:sub>
        </m:sSub>
      </m:oMath>
      <w:r>
        <w:rPr>
          <w:rFonts w:eastAsiaTheme="minorEastAsia"/>
          <w:szCs w:val="24"/>
        </w:rPr>
        <w:t xml:space="preserve"> a </w:t>
      </w:r>
      <m:oMath>
        <m:sSub>
          <m:sSubPr>
            <m:ctrlPr>
              <w:rPr>
                <w:rFonts w:ascii="Cambria Math" w:eastAsiaTheme="minorEastAsia" w:hAnsi="Cambria Math"/>
                <w:i/>
                <w:szCs w:val="24"/>
              </w:rPr>
            </m:ctrlPr>
          </m:sSubPr>
          <m:e>
            <m:r>
              <w:rPr>
                <w:rFonts w:ascii="Cambria Math" w:eastAsiaTheme="minorEastAsia" w:hAnsi="Cambria Math"/>
                <w:szCs w:val="24"/>
              </w:rPr>
              <m:t>v</m:t>
            </m:r>
          </m:e>
          <m:sub>
            <m:r>
              <w:rPr>
                <w:rFonts w:ascii="Cambria Math" w:eastAsiaTheme="minorEastAsia" w:hAnsi="Cambria Math"/>
                <w:szCs w:val="24"/>
              </w:rPr>
              <m:t>6</m:t>
            </m:r>
          </m:sub>
        </m:sSub>
      </m:oMath>
      <w:r>
        <w:rPr>
          <w:rFonts w:eastAsiaTheme="minorEastAsia"/>
          <w:szCs w:val="24"/>
        </w:rPr>
        <w:t xml:space="preserve">zaokrouhlíme také na tři desetinná místa. Provedeme-li v programu MS Excel statistickou analýzu dat (Data </w:t>
      </w:r>
      <w:r>
        <w:rPr>
          <w:rFonts w:eastAsiaTheme="minorEastAsia"/>
          <w:szCs w:val="24"/>
        </w:rPr>
        <w:sym w:font="Wingdings 3" w:char="F022"/>
      </w:r>
      <w:r>
        <w:rPr>
          <w:rFonts w:eastAsiaTheme="minorEastAsia"/>
          <w:szCs w:val="24"/>
        </w:rPr>
        <w:t xml:space="preserve"> Analýza dat </w:t>
      </w:r>
      <w:r>
        <w:rPr>
          <w:rFonts w:eastAsiaTheme="minorEastAsia"/>
          <w:szCs w:val="24"/>
        </w:rPr>
        <w:sym w:font="Wingdings 3" w:char="F022"/>
      </w:r>
      <w:r>
        <w:rPr>
          <w:rFonts w:eastAsiaTheme="minorEastAsia"/>
          <w:szCs w:val="24"/>
        </w:rPr>
        <w:t xml:space="preserve"> Popisná statistika) z tabulky 1.1, zjistíme, že </w:t>
      </w:r>
      <w:r w:rsidR="00E62B5B">
        <w:rPr>
          <w:rFonts w:eastAsiaTheme="minorEastAsia"/>
          <w:szCs w:val="24"/>
        </w:rPr>
        <w:t>nejistota</w:t>
      </w:r>
      <w:r>
        <w:rPr>
          <w:rFonts w:eastAsiaTheme="minorEastAsia"/>
          <w:szCs w:val="24"/>
        </w:rPr>
        <w:t xml:space="preserve"> střední hodnoty po zaokrouhlení na jednu platnou číslici činí 0,02 </w:t>
      </w:r>
      <m:oMath>
        <m:r>
          <m:rPr>
            <m:sty m:val="p"/>
          </m:rPr>
          <w:rPr>
            <w:rFonts w:ascii="Cambria Math" w:eastAsiaTheme="minorEastAsia" w:hAnsi="Cambria Math"/>
            <w:szCs w:val="24"/>
          </w:rPr>
          <m:t>m</m:t>
        </m:r>
        <m:sSup>
          <m:sSupPr>
            <m:ctrlPr>
              <w:rPr>
                <w:rFonts w:ascii="Cambria Math" w:eastAsiaTheme="minorEastAsia" w:hAnsi="Cambria Math"/>
                <w:szCs w:val="24"/>
              </w:rPr>
            </m:ctrlPr>
          </m:sSupPr>
          <m:e>
            <m:r>
              <m:rPr>
                <m:sty m:val="p"/>
              </m:rPr>
              <w:rPr>
                <w:rFonts w:ascii="Cambria Math" w:eastAsiaTheme="minorEastAsia" w:hAnsi="Cambria Math"/>
                <w:szCs w:val="24"/>
              </w:rPr>
              <m:t>∙s</m:t>
            </m:r>
          </m:e>
          <m:sup>
            <m:r>
              <m:rPr>
                <m:sty m:val="p"/>
              </m:rPr>
              <w:rPr>
                <w:rFonts w:ascii="Cambria Math" w:eastAsiaTheme="minorEastAsia" w:hAnsi="Cambria Math"/>
                <w:szCs w:val="24"/>
              </w:rPr>
              <m:t>-1</m:t>
            </m:r>
          </m:sup>
        </m:sSup>
      </m:oMath>
      <w:r>
        <w:rPr>
          <w:rFonts w:eastAsiaTheme="minorEastAsia"/>
          <w:szCs w:val="24"/>
        </w:rPr>
        <w:t xml:space="preserve"> a hodnoty </w:t>
      </w:r>
      <m:oMath>
        <m:r>
          <w:rPr>
            <w:rFonts w:ascii="Cambria Math" w:eastAsiaTheme="minorEastAsia" w:hAnsi="Cambria Math"/>
            <w:szCs w:val="24"/>
          </w:rPr>
          <m:t>∆v</m:t>
        </m:r>
      </m:oMath>
      <w:r>
        <w:rPr>
          <w:rFonts w:eastAsiaTheme="minorEastAsia"/>
          <w:szCs w:val="24"/>
        </w:rPr>
        <w:t xml:space="preserve"> v pátém sloupci tabulky 1.1 tedy zaokrouhlíme na dvě desetinná místa.</w:t>
      </w:r>
    </w:p>
    <w:p w:rsidR="00E209A1" w:rsidRDefault="00E209A1" w:rsidP="00E209A1">
      <w:pPr>
        <w:pStyle w:val="Bntextrga"/>
        <w:spacing w:line="360" w:lineRule="auto"/>
        <w:jc w:val="center"/>
        <w:rPr>
          <w:rFonts w:eastAsiaTheme="minorEastAsia"/>
          <w:szCs w:val="24"/>
        </w:rPr>
      </w:pPr>
      <w:r>
        <w:rPr>
          <w:rFonts w:eastAsiaTheme="minorEastAsia"/>
          <w:noProof/>
          <w:szCs w:val="24"/>
          <w:lang w:eastAsia="cs-CZ"/>
        </w:rPr>
        <w:lastRenderedPageBreak/>
        <w:drawing>
          <wp:inline distT="0" distB="0" distL="0" distR="0" wp14:anchorId="2EEA7B1E" wp14:editId="7481EA23">
            <wp:extent cx="5760085" cy="323977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1_oscilogram_zrychleni_naklonena_rovina_prvni_zu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E209A1" w:rsidRPr="007A2BCA" w:rsidRDefault="00E209A1" w:rsidP="00E209A1">
      <w:pPr>
        <w:pStyle w:val="Bntextrga"/>
        <w:spacing w:line="360" w:lineRule="auto"/>
        <w:jc w:val="center"/>
        <w:rPr>
          <w:rFonts w:eastAsiaTheme="minorEastAsia"/>
          <w:sz w:val="20"/>
          <w:szCs w:val="20"/>
        </w:rPr>
      </w:pPr>
      <w:r w:rsidRPr="007A2BCA">
        <w:rPr>
          <w:rFonts w:eastAsiaTheme="minorEastAsia"/>
          <w:sz w:val="20"/>
          <w:szCs w:val="20"/>
        </w:rPr>
        <w:t>Obr. 1.1.2 Oscilogram experimentu – Měření zrychlení na nakloněné rovině – vyznačení prvního zubu</w:t>
      </w:r>
    </w:p>
    <w:p w:rsidR="00E209A1" w:rsidRDefault="00E209A1" w:rsidP="00133D7E">
      <w:pPr>
        <w:pStyle w:val="Bntextrga"/>
        <w:spacing w:line="360" w:lineRule="auto"/>
        <w:rPr>
          <w:rFonts w:eastAsiaTheme="minorEastAsia"/>
          <w:szCs w:val="24"/>
        </w:rPr>
      </w:pPr>
    </w:p>
    <w:p w:rsidR="00133D7E" w:rsidRDefault="00133D7E" w:rsidP="00133D7E">
      <w:pPr>
        <w:pStyle w:val="Bntextrga"/>
        <w:spacing w:line="360" w:lineRule="auto"/>
        <w:rPr>
          <w:rFonts w:eastAsiaTheme="minorEastAsia"/>
          <w:szCs w:val="24"/>
        </w:rPr>
      </w:pPr>
    </w:p>
    <w:p w:rsidR="00133D7E" w:rsidRDefault="00E209A1" w:rsidP="00133D7E">
      <w:pPr>
        <w:pStyle w:val="Bntextrga"/>
        <w:spacing w:line="360" w:lineRule="auto"/>
        <w:jc w:val="center"/>
        <w:rPr>
          <w:rFonts w:eastAsiaTheme="minorEastAsia"/>
          <w:sz w:val="20"/>
          <w:szCs w:val="20"/>
        </w:rPr>
      </w:pPr>
      <w:r>
        <w:rPr>
          <w:rFonts w:eastAsiaTheme="minorEastAsia"/>
          <w:noProof/>
          <w:szCs w:val="24"/>
          <w:lang w:eastAsia="cs-CZ"/>
        </w:rPr>
        <w:drawing>
          <wp:inline distT="0" distB="0" distL="0" distR="0" wp14:anchorId="3700426B" wp14:editId="2000C689">
            <wp:extent cx="5760085" cy="323977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1_oscilogram_zrychleni_naklonena_rovina_sesty_zu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E209A1" w:rsidRPr="00133D7E" w:rsidRDefault="00E209A1" w:rsidP="00133D7E">
      <w:pPr>
        <w:pStyle w:val="Bntextrga"/>
        <w:spacing w:line="360" w:lineRule="auto"/>
        <w:jc w:val="center"/>
        <w:rPr>
          <w:rFonts w:eastAsiaTheme="minorEastAsia"/>
          <w:szCs w:val="24"/>
        </w:rPr>
      </w:pPr>
      <w:r w:rsidRPr="007A2BCA">
        <w:rPr>
          <w:rFonts w:eastAsiaTheme="minorEastAsia"/>
          <w:sz w:val="20"/>
          <w:szCs w:val="20"/>
        </w:rPr>
        <w:t>Obr. 1.1.</w:t>
      </w:r>
      <w:r>
        <w:rPr>
          <w:rFonts w:eastAsiaTheme="minorEastAsia"/>
          <w:sz w:val="20"/>
          <w:szCs w:val="20"/>
        </w:rPr>
        <w:t>3</w:t>
      </w:r>
      <w:r w:rsidRPr="007A2BCA">
        <w:rPr>
          <w:rFonts w:eastAsiaTheme="minorEastAsia"/>
          <w:sz w:val="20"/>
          <w:szCs w:val="20"/>
        </w:rPr>
        <w:t xml:space="preserve"> Oscilogram experimentu – Měření zrychlení na nakloněné rovině – vyznačení </w:t>
      </w:r>
      <w:r>
        <w:rPr>
          <w:rFonts w:eastAsiaTheme="minorEastAsia"/>
          <w:sz w:val="20"/>
          <w:szCs w:val="20"/>
        </w:rPr>
        <w:t>šestého</w:t>
      </w:r>
      <w:r w:rsidRPr="007A2BCA">
        <w:rPr>
          <w:rFonts w:eastAsiaTheme="minorEastAsia"/>
          <w:sz w:val="20"/>
          <w:szCs w:val="20"/>
        </w:rPr>
        <w:t xml:space="preserve"> zubu</w:t>
      </w:r>
      <w:r>
        <w:rPr>
          <w:rFonts w:eastAsiaTheme="minorEastAsia"/>
          <w:sz w:val="20"/>
          <w:szCs w:val="20"/>
        </w:rPr>
        <w:br/>
      </w:r>
      <w:r>
        <w:rPr>
          <w:rFonts w:eastAsiaTheme="minorEastAsia"/>
          <w:sz w:val="20"/>
          <w:szCs w:val="20"/>
        </w:rPr>
        <w:br/>
      </w:r>
    </w:p>
    <w:p w:rsidR="00E209A1" w:rsidRDefault="00E209A1" w:rsidP="00E209A1">
      <w:pPr>
        <w:pStyle w:val="Bntextrga"/>
        <w:spacing w:line="360" w:lineRule="auto"/>
        <w:jc w:val="center"/>
        <w:rPr>
          <w:rFonts w:eastAsiaTheme="minorEastAsia"/>
          <w:szCs w:val="24"/>
        </w:rPr>
      </w:pPr>
      <w:r>
        <w:rPr>
          <w:rFonts w:eastAsiaTheme="minorEastAsia"/>
          <w:noProof/>
          <w:szCs w:val="24"/>
          <w:lang w:eastAsia="cs-CZ"/>
        </w:rPr>
        <w:lastRenderedPageBreak/>
        <w:drawing>
          <wp:inline distT="0" distB="0" distL="0" distR="0" wp14:anchorId="58CD2A11" wp14:editId="51D3C623">
            <wp:extent cx="5760085" cy="323977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3_soucinitel_smykoveho_treni_1-6_zu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E209A1" w:rsidRPr="007A2BCA" w:rsidRDefault="00E209A1" w:rsidP="00E209A1">
      <w:pPr>
        <w:pStyle w:val="Bntextrga"/>
        <w:spacing w:line="360" w:lineRule="auto"/>
        <w:jc w:val="center"/>
        <w:rPr>
          <w:rFonts w:eastAsiaTheme="minorEastAsia"/>
          <w:sz w:val="20"/>
          <w:szCs w:val="20"/>
        </w:rPr>
      </w:pPr>
      <w:r w:rsidRPr="007A2BCA">
        <w:rPr>
          <w:rFonts w:eastAsiaTheme="minorEastAsia"/>
          <w:sz w:val="20"/>
          <w:szCs w:val="20"/>
        </w:rPr>
        <w:t>Obr. 1.1.</w:t>
      </w:r>
      <w:r>
        <w:rPr>
          <w:rFonts w:eastAsiaTheme="minorEastAsia"/>
          <w:sz w:val="20"/>
          <w:szCs w:val="20"/>
        </w:rPr>
        <w:t>4</w:t>
      </w:r>
      <w:r w:rsidRPr="007A2BCA">
        <w:rPr>
          <w:rFonts w:eastAsiaTheme="minorEastAsia"/>
          <w:sz w:val="20"/>
          <w:szCs w:val="20"/>
        </w:rPr>
        <w:t xml:space="preserve"> Oscilogram experimentu – Měření zrychlení na nakloněné rovině – </w:t>
      </w:r>
      <w:r>
        <w:rPr>
          <w:rFonts w:eastAsiaTheme="minorEastAsia"/>
          <w:sz w:val="20"/>
          <w:szCs w:val="20"/>
        </w:rPr>
        <w:t>čas mezi 1. a 6. zubem</w:t>
      </w:r>
    </w:p>
    <w:p w:rsidR="00E209A1" w:rsidRDefault="00E209A1" w:rsidP="00E209A1">
      <w:pPr>
        <w:pStyle w:val="Bntextrga"/>
        <w:spacing w:line="360" w:lineRule="auto"/>
        <w:rPr>
          <w:rFonts w:eastAsiaTheme="minorEastAsia"/>
          <w:szCs w:val="24"/>
        </w:rPr>
      </w:pPr>
    </w:p>
    <w:p w:rsidR="00E209A1" w:rsidRDefault="00E209A1" w:rsidP="00E209A1">
      <w:pPr>
        <w:pStyle w:val="Bntextrga"/>
        <w:spacing w:after="0" w:line="360" w:lineRule="auto"/>
        <w:rPr>
          <w:rFonts w:eastAsiaTheme="minorEastAsia"/>
          <w:szCs w:val="24"/>
        </w:rPr>
      </w:pPr>
      <w:r w:rsidRPr="00FC7B7D">
        <w:rPr>
          <w:rFonts w:eastAsiaTheme="minorEastAsia"/>
          <w:b/>
          <w:szCs w:val="24"/>
        </w:rPr>
        <w:t>Tabulka 1.1</w:t>
      </w:r>
      <w:r>
        <w:rPr>
          <w:rFonts w:eastAsiaTheme="minorEastAsia"/>
          <w:szCs w:val="24"/>
        </w:rPr>
        <w:t xml:space="preserve"> Měření zrychlení tělesa na nakloněné rovině pro úhel sklonu 30°</w:t>
      </w:r>
    </w:p>
    <w:tbl>
      <w:tblPr>
        <w:tblStyle w:val="Mkatabulky"/>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756"/>
        <w:gridCol w:w="1515"/>
        <w:gridCol w:w="1559"/>
        <w:gridCol w:w="1583"/>
        <w:gridCol w:w="1271"/>
        <w:gridCol w:w="1397"/>
      </w:tblGrid>
      <w:tr w:rsidR="00E209A1" w:rsidTr="00384E88">
        <w:trPr>
          <w:jc w:val="center"/>
        </w:trPr>
        <w:tc>
          <w:tcPr>
            <w:tcW w:w="991" w:type="dxa"/>
            <w:tcBorders>
              <w:top w:val="single" w:sz="4" w:space="0" w:color="auto"/>
              <w:bottom w:val="single" w:sz="4" w:space="0" w:color="auto"/>
            </w:tcBorders>
            <w:tcMar>
              <w:top w:w="113" w:type="dxa"/>
              <w:bottom w:w="113" w:type="dxa"/>
            </w:tcMar>
          </w:tcPr>
          <w:p w:rsidR="00E209A1" w:rsidRPr="003F686C" w:rsidRDefault="00E209A1" w:rsidP="00384E88">
            <w:pPr>
              <w:pStyle w:val="Bntextrga"/>
              <w:jc w:val="center"/>
              <w:rPr>
                <w:rFonts w:eastAsiaTheme="minorEastAsia"/>
              </w:rPr>
            </w:pPr>
            <w:r w:rsidRPr="00DF7279">
              <w:rPr>
                <w:rFonts w:eastAsiaTheme="minorEastAsia"/>
                <w:i/>
              </w:rPr>
              <w:t>t</w:t>
            </w:r>
            <w:r>
              <w:rPr>
                <w:rFonts w:eastAsiaTheme="minorEastAsia"/>
                <w:vertAlign w:val="subscript"/>
              </w:rPr>
              <w:t>1</w:t>
            </w:r>
            <w:r>
              <w:rPr>
                <w:rFonts w:eastAsiaTheme="minorEastAsia"/>
              </w:rPr>
              <w:t xml:space="preserve"> (s)</w:t>
            </w:r>
          </w:p>
        </w:tc>
        <w:tc>
          <w:tcPr>
            <w:tcW w:w="756" w:type="dxa"/>
            <w:tcBorders>
              <w:top w:val="single" w:sz="4" w:space="0" w:color="auto"/>
              <w:bottom w:val="single" w:sz="4" w:space="0" w:color="auto"/>
            </w:tcBorders>
            <w:tcMar>
              <w:top w:w="113" w:type="dxa"/>
              <w:bottom w:w="113" w:type="dxa"/>
            </w:tcMar>
          </w:tcPr>
          <w:p w:rsidR="00E209A1" w:rsidRPr="003F686C" w:rsidRDefault="00E209A1" w:rsidP="00384E88">
            <w:pPr>
              <w:pStyle w:val="Bntextrga"/>
              <w:jc w:val="center"/>
              <w:rPr>
                <w:rFonts w:eastAsiaTheme="minorEastAsia"/>
              </w:rPr>
            </w:pPr>
            <w:r>
              <w:rPr>
                <w:rFonts w:eastAsiaTheme="minorEastAsia"/>
                <w:i/>
              </w:rPr>
              <w:t>t</w:t>
            </w:r>
            <w:r>
              <w:rPr>
                <w:rFonts w:eastAsiaTheme="minorEastAsia"/>
                <w:vertAlign w:val="subscript"/>
              </w:rPr>
              <w:t>6</w:t>
            </w:r>
            <w:r>
              <w:rPr>
                <w:rFonts w:eastAsiaTheme="minorEastAsia"/>
              </w:rPr>
              <w:t xml:space="preserve"> (s)</w:t>
            </w:r>
          </w:p>
        </w:tc>
        <w:tc>
          <w:tcPr>
            <w:tcW w:w="1515" w:type="dxa"/>
            <w:tcBorders>
              <w:top w:val="single" w:sz="4" w:space="0" w:color="auto"/>
              <w:bottom w:val="single" w:sz="4" w:space="0" w:color="auto"/>
            </w:tcBorders>
            <w:tcMar>
              <w:top w:w="113" w:type="dxa"/>
              <w:bottom w:w="113" w:type="dxa"/>
            </w:tcMar>
          </w:tcPr>
          <w:p w:rsidR="00E209A1" w:rsidRPr="00327A49" w:rsidRDefault="00E209A1" w:rsidP="00384E88">
            <w:pPr>
              <w:pStyle w:val="Bntextrga"/>
              <w:spacing w:line="360" w:lineRule="auto"/>
              <w:jc w:val="center"/>
              <w:rPr>
                <w:rFonts w:eastAsiaTheme="minorEastAsia"/>
                <w:szCs w:val="24"/>
              </w:rPr>
            </w:pPr>
            <w:r w:rsidRPr="00DF7279">
              <w:rPr>
                <w:rFonts w:eastAsiaTheme="minorEastAsia"/>
                <w:i/>
              </w:rPr>
              <w:t>v</w:t>
            </w:r>
            <w:r>
              <w:rPr>
                <w:rFonts w:eastAsiaTheme="minorEastAsia"/>
                <w:vertAlign w:val="subscript"/>
              </w:rPr>
              <w:t>1</w:t>
            </w:r>
            <w:r>
              <w:rPr>
                <w:rFonts w:eastAsiaTheme="minorEastAsia"/>
              </w:rPr>
              <w:t xml:space="preserve"> (</w:t>
            </w:r>
            <m:oMath>
              <m:r>
                <m:rPr>
                  <m:sty m:val="p"/>
                </m:rPr>
                <w:rPr>
                  <w:rFonts w:ascii="Cambria Math" w:eastAsiaTheme="minorEastAsia" w:hAnsi="Cambria Math"/>
                  <w:szCs w:val="24"/>
                </w:rPr>
                <m:t>m</m:t>
              </m:r>
              <m:sSup>
                <m:sSupPr>
                  <m:ctrlPr>
                    <w:rPr>
                      <w:rFonts w:ascii="Cambria Math" w:eastAsiaTheme="minorEastAsia" w:hAnsi="Cambria Math"/>
                      <w:szCs w:val="24"/>
                    </w:rPr>
                  </m:ctrlPr>
                </m:sSupPr>
                <m:e>
                  <m:r>
                    <m:rPr>
                      <m:sty m:val="p"/>
                    </m:rPr>
                    <w:rPr>
                      <w:rFonts w:ascii="Cambria Math" w:eastAsiaTheme="minorEastAsia" w:hAnsi="Cambria Math"/>
                      <w:szCs w:val="24"/>
                    </w:rPr>
                    <m:t>∙s</m:t>
                  </m:r>
                </m:e>
                <m:sup>
                  <m:r>
                    <m:rPr>
                      <m:sty m:val="p"/>
                    </m:rPr>
                    <w:rPr>
                      <w:rFonts w:ascii="Cambria Math" w:eastAsiaTheme="minorEastAsia" w:hAnsi="Cambria Math"/>
                      <w:szCs w:val="24"/>
                    </w:rPr>
                    <m:t>-1</m:t>
                  </m:r>
                </m:sup>
              </m:sSup>
            </m:oMath>
            <w:r>
              <w:rPr>
                <w:rFonts w:eastAsiaTheme="minorEastAsia"/>
              </w:rPr>
              <w:t>)</w:t>
            </w:r>
          </w:p>
        </w:tc>
        <w:tc>
          <w:tcPr>
            <w:tcW w:w="1559" w:type="dxa"/>
            <w:tcBorders>
              <w:top w:val="single" w:sz="4" w:space="0" w:color="auto"/>
              <w:bottom w:val="single" w:sz="4" w:space="0" w:color="auto"/>
            </w:tcBorders>
            <w:tcMar>
              <w:top w:w="113" w:type="dxa"/>
              <w:bottom w:w="113" w:type="dxa"/>
            </w:tcMar>
          </w:tcPr>
          <w:p w:rsidR="00E209A1" w:rsidRPr="00327A49" w:rsidRDefault="00E209A1" w:rsidP="00384E88">
            <w:pPr>
              <w:pStyle w:val="Bntextrga"/>
              <w:spacing w:line="360" w:lineRule="auto"/>
              <w:jc w:val="center"/>
              <w:rPr>
                <w:rFonts w:eastAsiaTheme="minorEastAsia"/>
                <w:szCs w:val="24"/>
              </w:rPr>
            </w:pPr>
            <w:r>
              <w:rPr>
                <w:rFonts w:eastAsiaTheme="minorEastAsia"/>
                <w:i/>
              </w:rPr>
              <w:t>v</w:t>
            </w:r>
            <w:r>
              <w:rPr>
                <w:rFonts w:eastAsiaTheme="minorEastAsia"/>
                <w:vertAlign w:val="subscript"/>
              </w:rPr>
              <w:t xml:space="preserve">6 </w:t>
            </w:r>
            <w:r>
              <w:rPr>
                <w:rFonts w:eastAsiaTheme="minorEastAsia"/>
              </w:rPr>
              <w:t>(</w:t>
            </w:r>
            <m:oMath>
              <m:r>
                <m:rPr>
                  <m:sty m:val="p"/>
                </m:rPr>
                <w:rPr>
                  <w:rFonts w:ascii="Cambria Math" w:eastAsiaTheme="minorEastAsia" w:hAnsi="Cambria Math"/>
                  <w:szCs w:val="24"/>
                </w:rPr>
                <m:t>m</m:t>
              </m:r>
              <m:sSup>
                <m:sSupPr>
                  <m:ctrlPr>
                    <w:rPr>
                      <w:rFonts w:ascii="Cambria Math" w:eastAsiaTheme="minorEastAsia" w:hAnsi="Cambria Math"/>
                      <w:szCs w:val="24"/>
                    </w:rPr>
                  </m:ctrlPr>
                </m:sSupPr>
                <m:e>
                  <m:r>
                    <m:rPr>
                      <m:sty m:val="p"/>
                    </m:rPr>
                    <w:rPr>
                      <w:rFonts w:ascii="Cambria Math" w:eastAsiaTheme="minorEastAsia" w:hAnsi="Cambria Math"/>
                      <w:szCs w:val="24"/>
                    </w:rPr>
                    <m:t>∙s</m:t>
                  </m:r>
                </m:e>
                <m:sup>
                  <m:r>
                    <m:rPr>
                      <m:sty m:val="p"/>
                    </m:rPr>
                    <w:rPr>
                      <w:rFonts w:ascii="Cambria Math" w:eastAsiaTheme="minorEastAsia" w:hAnsi="Cambria Math"/>
                      <w:szCs w:val="24"/>
                    </w:rPr>
                    <m:t>-1</m:t>
                  </m:r>
                </m:sup>
              </m:sSup>
            </m:oMath>
            <w:r>
              <w:rPr>
                <w:rFonts w:eastAsiaTheme="minorEastAsia"/>
              </w:rPr>
              <w:t>)</w:t>
            </w:r>
          </w:p>
        </w:tc>
        <w:tc>
          <w:tcPr>
            <w:tcW w:w="1583" w:type="dxa"/>
            <w:tcBorders>
              <w:top w:val="single" w:sz="4" w:space="0" w:color="auto"/>
              <w:bottom w:val="single" w:sz="4" w:space="0" w:color="auto"/>
            </w:tcBorders>
            <w:tcMar>
              <w:top w:w="113" w:type="dxa"/>
              <w:bottom w:w="113" w:type="dxa"/>
            </w:tcMar>
          </w:tcPr>
          <w:p w:rsidR="00E209A1" w:rsidRPr="00327A49" w:rsidRDefault="00E209A1" w:rsidP="00384E88">
            <w:pPr>
              <w:pStyle w:val="Bntextrga"/>
              <w:spacing w:line="360" w:lineRule="auto"/>
              <w:jc w:val="center"/>
              <w:rPr>
                <w:rFonts w:eastAsiaTheme="minorEastAsia"/>
                <w:szCs w:val="24"/>
              </w:rPr>
            </w:pPr>
            <w:proofErr w:type="spellStart"/>
            <w:r>
              <w:rPr>
                <w:rFonts w:eastAsiaTheme="minorEastAsia"/>
              </w:rPr>
              <w:t>Δ</w:t>
            </w:r>
            <w:r w:rsidRPr="00DF7279">
              <w:rPr>
                <w:rFonts w:eastAsiaTheme="minorEastAsia"/>
                <w:i/>
              </w:rPr>
              <w:t>v</w:t>
            </w:r>
            <w:proofErr w:type="spellEnd"/>
            <w:r>
              <w:rPr>
                <w:rFonts w:eastAsiaTheme="minorEastAsia"/>
              </w:rPr>
              <w:t xml:space="preserve"> (</w:t>
            </w:r>
            <m:oMath>
              <m:r>
                <m:rPr>
                  <m:sty m:val="p"/>
                </m:rPr>
                <w:rPr>
                  <w:rFonts w:ascii="Cambria Math" w:eastAsiaTheme="minorEastAsia" w:hAnsi="Cambria Math"/>
                  <w:szCs w:val="24"/>
                </w:rPr>
                <m:t>m</m:t>
              </m:r>
              <m:sSup>
                <m:sSupPr>
                  <m:ctrlPr>
                    <w:rPr>
                      <w:rFonts w:ascii="Cambria Math" w:eastAsiaTheme="minorEastAsia" w:hAnsi="Cambria Math"/>
                      <w:szCs w:val="24"/>
                    </w:rPr>
                  </m:ctrlPr>
                </m:sSupPr>
                <m:e>
                  <m:r>
                    <m:rPr>
                      <m:sty m:val="p"/>
                    </m:rPr>
                    <w:rPr>
                      <w:rFonts w:ascii="Cambria Math" w:eastAsiaTheme="minorEastAsia" w:hAnsi="Cambria Math"/>
                      <w:szCs w:val="24"/>
                    </w:rPr>
                    <m:t>∙s</m:t>
                  </m:r>
                </m:e>
                <m:sup>
                  <m:r>
                    <m:rPr>
                      <m:sty m:val="p"/>
                    </m:rPr>
                    <w:rPr>
                      <w:rFonts w:ascii="Cambria Math" w:eastAsiaTheme="minorEastAsia" w:hAnsi="Cambria Math"/>
                      <w:szCs w:val="24"/>
                    </w:rPr>
                    <m:t>-1</m:t>
                  </m:r>
                </m:sup>
              </m:sSup>
            </m:oMath>
            <w:r>
              <w:rPr>
                <w:rFonts w:eastAsiaTheme="minorEastAsia"/>
              </w:rPr>
              <w:t>)</w:t>
            </w:r>
          </w:p>
        </w:tc>
        <w:tc>
          <w:tcPr>
            <w:tcW w:w="1271" w:type="dxa"/>
            <w:tcBorders>
              <w:top w:val="single" w:sz="4" w:space="0" w:color="auto"/>
              <w:bottom w:val="single" w:sz="4" w:space="0" w:color="auto"/>
            </w:tcBorders>
            <w:tcMar>
              <w:top w:w="113" w:type="dxa"/>
              <w:bottom w:w="113" w:type="dxa"/>
            </w:tcMar>
          </w:tcPr>
          <w:p w:rsidR="00E209A1" w:rsidRDefault="00E209A1" w:rsidP="00384E88">
            <w:pPr>
              <w:pStyle w:val="Bntextrga"/>
              <w:jc w:val="center"/>
              <w:rPr>
                <w:rFonts w:eastAsiaTheme="minorEastAsia"/>
              </w:rPr>
            </w:pPr>
            <w:proofErr w:type="spellStart"/>
            <w:r>
              <w:rPr>
                <w:rFonts w:eastAsiaTheme="minorEastAsia"/>
              </w:rPr>
              <w:t>Δ</w:t>
            </w:r>
            <w:r w:rsidRPr="00DF7279">
              <w:rPr>
                <w:rFonts w:eastAsiaTheme="minorEastAsia"/>
                <w:i/>
              </w:rPr>
              <w:t>t</w:t>
            </w:r>
            <w:proofErr w:type="spellEnd"/>
            <w:r>
              <w:rPr>
                <w:rFonts w:eastAsiaTheme="minorEastAsia"/>
              </w:rPr>
              <w:t xml:space="preserve"> (s)</w:t>
            </w:r>
          </w:p>
        </w:tc>
        <w:tc>
          <w:tcPr>
            <w:tcW w:w="1397" w:type="dxa"/>
            <w:tcBorders>
              <w:top w:val="single" w:sz="4" w:space="0" w:color="auto"/>
              <w:bottom w:val="single" w:sz="4" w:space="0" w:color="auto"/>
            </w:tcBorders>
            <w:tcMar>
              <w:top w:w="113" w:type="dxa"/>
              <w:bottom w:w="113" w:type="dxa"/>
            </w:tcMar>
          </w:tcPr>
          <w:p w:rsidR="00E209A1" w:rsidRPr="00232F5E" w:rsidRDefault="00E209A1" w:rsidP="00384E88">
            <w:pPr>
              <w:pStyle w:val="Bntextrga"/>
              <w:spacing w:line="360" w:lineRule="auto"/>
              <w:jc w:val="center"/>
              <w:rPr>
                <w:rFonts w:eastAsiaTheme="minorEastAsia"/>
                <w:szCs w:val="24"/>
              </w:rPr>
            </w:pPr>
            <w:r w:rsidRPr="00DF7279">
              <w:rPr>
                <w:rFonts w:eastAsiaTheme="minorEastAsia"/>
                <w:i/>
              </w:rPr>
              <w:t>a</w:t>
            </w:r>
            <w:r>
              <w:rPr>
                <w:rFonts w:eastAsiaTheme="minorEastAsia"/>
              </w:rPr>
              <w:t xml:space="preserve"> (</w:t>
            </w:r>
            <m:oMath>
              <m:r>
                <m:rPr>
                  <m:sty m:val="p"/>
                </m:rPr>
                <w:rPr>
                  <w:rFonts w:ascii="Cambria Math" w:eastAsiaTheme="minorEastAsia" w:hAnsi="Cambria Math"/>
                  <w:szCs w:val="24"/>
                </w:rPr>
                <m:t>m</m:t>
              </m:r>
              <m:sSup>
                <m:sSupPr>
                  <m:ctrlPr>
                    <w:rPr>
                      <w:rFonts w:ascii="Cambria Math" w:eastAsiaTheme="minorEastAsia" w:hAnsi="Cambria Math"/>
                      <w:szCs w:val="24"/>
                    </w:rPr>
                  </m:ctrlPr>
                </m:sSupPr>
                <m:e>
                  <m:r>
                    <m:rPr>
                      <m:sty m:val="p"/>
                    </m:rPr>
                    <w:rPr>
                      <w:rFonts w:ascii="Cambria Math" w:eastAsiaTheme="minorEastAsia" w:hAnsi="Cambria Math"/>
                      <w:szCs w:val="24"/>
                    </w:rPr>
                    <m:t>∙s</m:t>
                  </m:r>
                </m:e>
                <m:sup>
                  <m:r>
                    <m:rPr>
                      <m:sty m:val="p"/>
                    </m:rPr>
                    <w:rPr>
                      <w:rFonts w:ascii="Cambria Math" w:eastAsiaTheme="minorEastAsia" w:hAnsi="Cambria Math"/>
                      <w:szCs w:val="24"/>
                    </w:rPr>
                    <m:t>-2</m:t>
                  </m:r>
                </m:sup>
              </m:sSup>
            </m:oMath>
            <w:r>
              <w:rPr>
                <w:rFonts w:eastAsiaTheme="minorEastAsia"/>
              </w:rPr>
              <w:t>)</w:t>
            </w:r>
          </w:p>
        </w:tc>
      </w:tr>
      <w:tr w:rsidR="00E209A1" w:rsidTr="00384E88">
        <w:trPr>
          <w:jc w:val="center"/>
        </w:trPr>
        <w:tc>
          <w:tcPr>
            <w:tcW w:w="991" w:type="dxa"/>
            <w:tcBorders>
              <w:top w:val="single" w:sz="4" w:space="0" w:color="auto"/>
            </w:tcBorders>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0,020 </w:t>
            </w:r>
          </w:p>
        </w:tc>
        <w:tc>
          <w:tcPr>
            <w:tcW w:w="756" w:type="dxa"/>
            <w:tcBorders>
              <w:top w:val="single" w:sz="4" w:space="0" w:color="auto"/>
            </w:tcBorders>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0,012 </w:t>
            </w:r>
          </w:p>
        </w:tc>
        <w:tc>
          <w:tcPr>
            <w:tcW w:w="1515" w:type="dxa"/>
            <w:tcBorders>
              <w:top w:val="single" w:sz="4" w:space="0" w:color="auto"/>
            </w:tcBorders>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0,500 </w:t>
            </w:r>
          </w:p>
        </w:tc>
        <w:tc>
          <w:tcPr>
            <w:tcW w:w="1559" w:type="dxa"/>
            <w:tcBorders>
              <w:top w:val="single" w:sz="4" w:space="0" w:color="auto"/>
            </w:tcBorders>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0,830 </w:t>
            </w:r>
          </w:p>
        </w:tc>
        <w:tc>
          <w:tcPr>
            <w:tcW w:w="1583" w:type="dxa"/>
            <w:tcBorders>
              <w:top w:val="single" w:sz="4" w:space="0" w:color="auto"/>
            </w:tcBorders>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0,33 </w:t>
            </w:r>
          </w:p>
        </w:tc>
        <w:tc>
          <w:tcPr>
            <w:tcW w:w="1271" w:type="dxa"/>
            <w:tcBorders>
              <w:top w:val="single" w:sz="4" w:space="0" w:color="auto"/>
            </w:tcBorders>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0,236 </w:t>
            </w:r>
          </w:p>
        </w:tc>
        <w:tc>
          <w:tcPr>
            <w:tcW w:w="1397" w:type="dxa"/>
            <w:tcBorders>
              <w:top w:val="single" w:sz="4" w:space="0" w:color="auto"/>
            </w:tcBorders>
            <w:tcMar>
              <w:top w:w="113" w:type="dxa"/>
              <w:bottom w:w="113" w:type="dxa"/>
            </w:tcMar>
          </w:tcPr>
          <w:p w:rsidR="00E209A1" w:rsidRPr="00681744" w:rsidRDefault="00E209A1" w:rsidP="00384E88">
            <w:pPr>
              <w:pStyle w:val="Bntextrga"/>
              <w:jc w:val="center"/>
              <w:rPr>
                <w:rFonts w:eastAsiaTheme="minorEastAsia"/>
              </w:rPr>
            </w:pPr>
            <w:r>
              <w:rPr>
                <w:rFonts w:eastAsiaTheme="minorEastAsia"/>
              </w:rPr>
              <w:t>1,4</w:t>
            </w:r>
          </w:p>
        </w:tc>
      </w:tr>
      <w:tr w:rsidR="00E209A1" w:rsidTr="00384E88">
        <w:trPr>
          <w:jc w:val="center"/>
        </w:trPr>
        <w:tc>
          <w:tcPr>
            <w:tcW w:w="991"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0,023 </w:t>
            </w:r>
          </w:p>
        </w:tc>
        <w:tc>
          <w:tcPr>
            <w:tcW w:w="756"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0,014 </w:t>
            </w:r>
          </w:p>
        </w:tc>
        <w:tc>
          <w:tcPr>
            <w:tcW w:w="1515"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0,435 </w:t>
            </w:r>
          </w:p>
        </w:tc>
        <w:tc>
          <w:tcPr>
            <w:tcW w:w="1559"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0,714 </w:t>
            </w:r>
          </w:p>
        </w:tc>
        <w:tc>
          <w:tcPr>
            <w:tcW w:w="1583"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0,28 </w:t>
            </w:r>
          </w:p>
        </w:tc>
        <w:tc>
          <w:tcPr>
            <w:tcW w:w="1271"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0,228 </w:t>
            </w:r>
          </w:p>
        </w:tc>
        <w:tc>
          <w:tcPr>
            <w:tcW w:w="1397" w:type="dxa"/>
            <w:tcMar>
              <w:top w:w="113" w:type="dxa"/>
              <w:bottom w:w="113" w:type="dxa"/>
            </w:tcMar>
          </w:tcPr>
          <w:p w:rsidR="00E209A1" w:rsidRPr="00681744" w:rsidRDefault="00E209A1" w:rsidP="00384E88">
            <w:pPr>
              <w:pStyle w:val="Bntextrga"/>
              <w:jc w:val="center"/>
              <w:rPr>
                <w:rFonts w:eastAsiaTheme="minorEastAsia"/>
              </w:rPr>
            </w:pPr>
            <w:r>
              <w:rPr>
                <w:rFonts w:eastAsiaTheme="minorEastAsia"/>
              </w:rPr>
              <w:t>1,2</w:t>
            </w:r>
          </w:p>
        </w:tc>
      </w:tr>
      <w:tr w:rsidR="00E209A1" w:rsidTr="00384E88">
        <w:trPr>
          <w:jc w:val="center"/>
        </w:trPr>
        <w:tc>
          <w:tcPr>
            <w:tcW w:w="991"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0,022 </w:t>
            </w:r>
          </w:p>
        </w:tc>
        <w:tc>
          <w:tcPr>
            <w:tcW w:w="756"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0,013 </w:t>
            </w:r>
          </w:p>
        </w:tc>
        <w:tc>
          <w:tcPr>
            <w:tcW w:w="1515"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0,455 </w:t>
            </w:r>
          </w:p>
        </w:tc>
        <w:tc>
          <w:tcPr>
            <w:tcW w:w="1559"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0,769 </w:t>
            </w:r>
          </w:p>
        </w:tc>
        <w:tc>
          <w:tcPr>
            <w:tcW w:w="1583"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0,31 </w:t>
            </w:r>
          </w:p>
        </w:tc>
        <w:tc>
          <w:tcPr>
            <w:tcW w:w="1271"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0,219 </w:t>
            </w:r>
          </w:p>
        </w:tc>
        <w:tc>
          <w:tcPr>
            <w:tcW w:w="1397" w:type="dxa"/>
            <w:tcMar>
              <w:top w:w="113" w:type="dxa"/>
              <w:bottom w:w="113" w:type="dxa"/>
            </w:tcMar>
          </w:tcPr>
          <w:p w:rsidR="00E209A1" w:rsidRPr="00681744" w:rsidRDefault="00E209A1" w:rsidP="00384E88">
            <w:pPr>
              <w:pStyle w:val="Bntextrga"/>
              <w:jc w:val="center"/>
              <w:rPr>
                <w:rFonts w:eastAsiaTheme="minorEastAsia"/>
              </w:rPr>
            </w:pPr>
            <w:r>
              <w:rPr>
                <w:rFonts w:eastAsiaTheme="minorEastAsia"/>
              </w:rPr>
              <w:t xml:space="preserve">1,4 </w:t>
            </w:r>
          </w:p>
        </w:tc>
      </w:tr>
      <w:tr w:rsidR="00E209A1" w:rsidTr="00384E88">
        <w:trPr>
          <w:jc w:val="center"/>
        </w:trPr>
        <w:tc>
          <w:tcPr>
            <w:tcW w:w="991"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0,021 </w:t>
            </w:r>
          </w:p>
        </w:tc>
        <w:tc>
          <w:tcPr>
            <w:tcW w:w="756"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0,014 </w:t>
            </w:r>
          </w:p>
        </w:tc>
        <w:tc>
          <w:tcPr>
            <w:tcW w:w="1515"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0,476 </w:t>
            </w:r>
          </w:p>
        </w:tc>
        <w:tc>
          <w:tcPr>
            <w:tcW w:w="1559"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0,714 </w:t>
            </w:r>
          </w:p>
        </w:tc>
        <w:tc>
          <w:tcPr>
            <w:tcW w:w="1583"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0,24 </w:t>
            </w:r>
          </w:p>
        </w:tc>
        <w:tc>
          <w:tcPr>
            <w:tcW w:w="1271" w:type="dxa"/>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0,209 </w:t>
            </w:r>
          </w:p>
        </w:tc>
        <w:tc>
          <w:tcPr>
            <w:tcW w:w="1397" w:type="dxa"/>
            <w:tcMar>
              <w:top w:w="113" w:type="dxa"/>
              <w:bottom w:w="113" w:type="dxa"/>
            </w:tcMar>
          </w:tcPr>
          <w:p w:rsidR="00E209A1" w:rsidRPr="00681744" w:rsidRDefault="00E209A1" w:rsidP="00384E88">
            <w:pPr>
              <w:pStyle w:val="Bntextrga"/>
              <w:jc w:val="center"/>
              <w:rPr>
                <w:rFonts w:eastAsiaTheme="minorEastAsia"/>
              </w:rPr>
            </w:pPr>
            <w:r>
              <w:rPr>
                <w:rFonts w:eastAsiaTheme="minorEastAsia"/>
              </w:rPr>
              <w:t xml:space="preserve">1,1 </w:t>
            </w:r>
          </w:p>
        </w:tc>
      </w:tr>
      <w:tr w:rsidR="00E209A1" w:rsidTr="00384E88">
        <w:trPr>
          <w:jc w:val="center"/>
        </w:trPr>
        <w:tc>
          <w:tcPr>
            <w:tcW w:w="991" w:type="dxa"/>
            <w:tcBorders>
              <w:bottom w:val="single" w:sz="4" w:space="0" w:color="auto"/>
            </w:tcBorders>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0,021 </w:t>
            </w:r>
          </w:p>
        </w:tc>
        <w:tc>
          <w:tcPr>
            <w:tcW w:w="756" w:type="dxa"/>
            <w:tcBorders>
              <w:bottom w:val="single" w:sz="4" w:space="0" w:color="auto"/>
            </w:tcBorders>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0,014 </w:t>
            </w:r>
          </w:p>
        </w:tc>
        <w:tc>
          <w:tcPr>
            <w:tcW w:w="1515" w:type="dxa"/>
            <w:tcBorders>
              <w:bottom w:val="single" w:sz="4" w:space="0" w:color="auto"/>
            </w:tcBorders>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0,476 </w:t>
            </w:r>
          </w:p>
        </w:tc>
        <w:tc>
          <w:tcPr>
            <w:tcW w:w="1559" w:type="dxa"/>
            <w:tcBorders>
              <w:bottom w:val="single" w:sz="4" w:space="0" w:color="auto"/>
            </w:tcBorders>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0,714 </w:t>
            </w:r>
          </w:p>
        </w:tc>
        <w:tc>
          <w:tcPr>
            <w:tcW w:w="1583" w:type="dxa"/>
            <w:tcBorders>
              <w:bottom w:val="single" w:sz="4" w:space="0" w:color="auto"/>
            </w:tcBorders>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0,24 </w:t>
            </w:r>
          </w:p>
        </w:tc>
        <w:tc>
          <w:tcPr>
            <w:tcW w:w="1271" w:type="dxa"/>
            <w:tcBorders>
              <w:bottom w:val="single" w:sz="4" w:space="0" w:color="auto"/>
            </w:tcBorders>
            <w:tcMar>
              <w:top w:w="113" w:type="dxa"/>
              <w:bottom w:w="113" w:type="dxa"/>
            </w:tcMar>
          </w:tcPr>
          <w:p w:rsidR="00E209A1" w:rsidRDefault="00E209A1" w:rsidP="00384E88">
            <w:pPr>
              <w:pStyle w:val="Bntextrga"/>
              <w:jc w:val="center"/>
              <w:rPr>
                <w:rFonts w:eastAsiaTheme="minorEastAsia"/>
              </w:rPr>
            </w:pPr>
            <w:r>
              <w:rPr>
                <w:rFonts w:eastAsiaTheme="minorEastAsia"/>
              </w:rPr>
              <w:t xml:space="preserve">0,204 </w:t>
            </w:r>
          </w:p>
        </w:tc>
        <w:tc>
          <w:tcPr>
            <w:tcW w:w="1397" w:type="dxa"/>
            <w:tcBorders>
              <w:bottom w:val="single" w:sz="4" w:space="0" w:color="auto"/>
            </w:tcBorders>
            <w:tcMar>
              <w:top w:w="113" w:type="dxa"/>
              <w:bottom w:w="113" w:type="dxa"/>
            </w:tcMar>
          </w:tcPr>
          <w:p w:rsidR="00E209A1" w:rsidRPr="00681744" w:rsidRDefault="00E209A1" w:rsidP="00384E88">
            <w:pPr>
              <w:pStyle w:val="Bntextrga"/>
              <w:jc w:val="center"/>
              <w:rPr>
                <w:rFonts w:eastAsiaTheme="minorEastAsia"/>
              </w:rPr>
            </w:pPr>
            <w:r>
              <w:rPr>
                <w:rFonts w:eastAsiaTheme="minorEastAsia"/>
              </w:rPr>
              <w:t xml:space="preserve">1,2 </w:t>
            </w:r>
          </w:p>
        </w:tc>
      </w:tr>
    </w:tbl>
    <w:p w:rsidR="00E209A1" w:rsidRDefault="00E209A1" w:rsidP="00E209A1">
      <w:pPr>
        <w:pStyle w:val="Bntextrga"/>
        <w:spacing w:line="360" w:lineRule="auto"/>
        <w:jc w:val="both"/>
        <w:rPr>
          <w:rFonts w:eastAsiaTheme="minorEastAsia"/>
          <w:szCs w:val="24"/>
        </w:rPr>
      </w:pPr>
      <w:r>
        <w:rPr>
          <w:rFonts w:eastAsiaTheme="minorEastAsia"/>
          <w:szCs w:val="24"/>
        </w:rPr>
        <w:br/>
        <w:t xml:space="preserve">Absolutní </w:t>
      </w:r>
      <w:r w:rsidR="00E62B5B">
        <w:rPr>
          <w:rFonts w:eastAsiaTheme="minorEastAsia"/>
          <w:szCs w:val="24"/>
        </w:rPr>
        <w:t>nejistotu</w:t>
      </w:r>
      <w:r>
        <w:rPr>
          <w:rFonts w:eastAsiaTheme="minorEastAsia"/>
          <w:szCs w:val="24"/>
        </w:rPr>
        <w:t xml:space="preserve"> měření pro zrychlení </w:t>
      </w:r>
      <w:r w:rsidRPr="001E0BB6">
        <w:rPr>
          <w:rFonts w:eastAsiaTheme="minorEastAsia"/>
          <w:i/>
          <w:szCs w:val="24"/>
        </w:rPr>
        <w:t>a</w:t>
      </w:r>
      <w:r>
        <w:rPr>
          <w:rFonts w:eastAsiaTheme="minorEastAsia"/>
          <w:szCs w:val="24"/>
        </w:rPr>
        <w:t xml:space="preserve"> potom určíme v souladu s </w:t>
      </w:r>
      <w:r w:rsidRPr="00E209A1">
        <w:rPr>
          <w:rFonts w:eastAsiaTheme="minorEastAsia"/>
          <w:szCs w:val="24"/>
        </w:rPr>
        <w:t xml:space="preserve">[9], [48] a [90] </w:t>
      </w:r>
      <w:r w:rsidRPr="00CA7B0C">
        <w:rPr>
          <w:rFonts w:eastAsiaTheme="minorEastAsia"/>
          <w:szCs w:val="24"/>
        </w:rPr>
        <w:t>podle</w:t>
      </w:r>
      <w:r>
        <w:rPr>
          <w:rFonts w:eastAsiaTheme="minorEastAsia"/>
          <w:szCs w:val="24"/>
        </w:rPr>
        <w:t xml:space="preserve"> následujícího vztahu (1.1.1): </w:t>
      </w:r>
    </w:p>
    <w:p w:rsidR="00E209A1" w:rsidRPr="00565792" w:rsidRDefault="00E209A1" w:rsidP="00E209A1">
      <w:pPr>
        <w:pStyle w:val="Bntextrga"/>
        <w:spacing w:line="360" w:lineRule="auto"/>
        <w:jc w:val="both"/>
        <w:rPr>
          <w:rFonts w:eastAsiaTheme="minorEastAsia"/>
          <w:szCs w:val="24"/>
        </w:rPr>
      </w:pPr>
      <m:oMathPara>
        <m:oMathParaPr>
          <m:jc m:val="right"/>
        </m:oMathParaPr>
        <m:oMath>
          <m:r>
            <w:rPr>
              <w:rFonts w:ascii="Cambria Math" w:eastAsiaTheme="minorEastAsia" w:hAnsi="Cambria Math"/>
              <w:szCs w:val="24"/>
            </w:rPr>
            <m:t>∆a=</m:t>
          </m:r>
          <m:acc>
            <m:accPr>
              <m:chr m:val="̅"/>
              <m:ctrlPr>
                <w:rPr>
                  <w:rFonts w:ascii="Cambria Math" w:eastAsiaTheme="minorEastAsia" w:hAnsi="Cambria Math"/>
                  <w:i/>
                  <w:szCs w:val="24"/>
                </w:rPr>
              </m:ctrlPr>
            </m:accPr>
            <m:e>
              <m:r>
                <w:rPr>
                  <w:rFonts w:ascii="Cambria Math" w:eastAsiaTheme="minorEastAsia" w:hAnsi="Cambria Math"/>
                  <w:szCs w:val="24"/>
                </w:rPr>
                <m:t>a</m:t>
              </m:r>
            </m:e>
          </m:acc>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∆v</m:t>
                  </m:r>
                </m:num>
                <m:den>
                  <m:acc>
                    <m:accPr>
                      <m:chr m:val="̅"/>
                      <m:ctrlPr>
                        <w:rPr>
                          <w:rFonts w:ascii="Cambria Math" w:eastAsiaTheme="minorEastAsia" w:hAnsi="Cambria Math"/>
                          <w:i/>
                          <w:szCs w:val="24"/>
                        </w:rPr>
                      </m:ctrlPr>
                    </m:accPr>
                    <m:e>
                      <m:r>
                        <w:rPr>
                          <w:rFonts w:ascii="Cambria Math" w:eastAsiaTheme="minorEastAsia" w:hAnsi="Cambria Math"/>
                          <w:szCs w:val="24"/>
                        </w:rPr>
                        <m:t>v</m:t>
                      </m:r>
                    </m:e>
                  </m:acc>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∆t</m:t>
                  </m:r>
                </m:num>
                <m:den>
                  <m:acc>
                    <m:accPr>
                      <m:chr m:val="̅"/>
                      <m:ctrlPr>
                        <w:rPr>
                          <w:rFonts w:ascii="Cambria Math" w:eastAsiaTheme="minorEastAsia" w:hAnsi="Cambria Math"/>
                          <w:i/>
                          <w:szCs w:val="24"/>
                        </w:rPr>
                      </m:ctrlPr>
                    </m:accPr>
                    <m:e>
                      <m:r>
                        <w:rPr>
                          <w:rFonts w:ascii="Cambria Math" w:eastAsiaTheme="minorEastAsia" w:hAnsi="Cambria Math"/>
                          <w:szCs w:val="24"/>
                        </w:rPr>
                        <m:t>t</m:t>
                      </m:r>
                    </m:e>
                  </m:acc>
                </m:den>
              </m:f>
            </m:e>
          </m:d>
          <m:r>
            <w:rPr>
              <w:rFonts w:ascii="Cambria Math" w:eastAsiaTheme="minorEastAsia" w:hAnsi="Cambria Math"/>
              <w:szCs w:val="24"/>
            </w:rPr>
            <m:t xml:space="preserve">                                                    (1.1.1)</m:t>
          </m:r>
        </m:oMath>
      </m:oMathPara>
    </w:p>
    <w:p w:rsidR="00E209A1" w:rsidRPr="003942EE" w:rsidRDefault="00E209A1" w:rsidP="00E209A1">
      <w:pPr>
        <w:pStyle w:val="Bntextrga"/>
        <w:spacing w:line="360" w:lineRule="auto"/>
        <w:jc w:val="both"/>
        <w:rPr>
          <w:rFonts w:eastAsiaTheme="minorEastAsia"/>
          <w:szCs w:val="24"/>
        </w:rPr>
      </w:pPr>
      <w:r>
        <w:rPr>
          <w:rFonts w:eastAsiaTheme="minorEastAsia"/>
          <w:szCs w:val="24"/>
        </w:rPr>
        <w:t xml:space="preserve">Pro hodnoty </w:t>
      </w:r>
      <m:oMath>
        <m:r>
          <w:rPr>
            <w:rFonts w:ascii="Cambria Math" w:eastAsiaTheme="minorEastAsia" w:hAnsi="Cambria Math"/>
            <w:szCs w:val="24"/>
          </w:rPr>
          <m:t>∆v</m:t>
        </m:r>
      </m:oMath>
      <w:r>
        <w:rPr>
          <w:rFonts w:eastAsiaTheme="minorEastAsia"/>
          <w:szCs w:val="24"/>
        </w:rPr>
        <w:t xml:space="preserve"> v pátém sloupci a </w:t>
      </w:r>
      <m:oMath>
        <m:r>
          <w:rPr>
            <w:rFonts w:ascii="Cambria Math" w:eastAsiaTheme="minorEastAsia" w:hAnsi="Cambria Math"/>
            <w:szCs w:val="24"/>
          </w:rPr>
          <m:t>∆t</m:t>
        </m:r>
      </m:oMath>
      <w:r>
        <w:rPr>
          <w:rFonts w:eastAsiaTheme="minorEastAsia"/>
          <w:szCs w:val="24"/>
        </w:rPr>
        <w:t xml:space="preserve"> v šestém sloupci tabulky 1.1 můžeme pomocí analytických nástrojů MS Excel najít tyto hodnoty: </w:t>
      </w:r>
      <m:oMath>
        <m:r>
          <w:rPr>
            <w:rFonts w:ascii="Cambria Math" w:eastAsiaTheme="minorEastAsia" w:hAnsi="Cambria Math"/>
            <w:szCs w:val="24"/>
          </w:rPr>
          <m:t>∆v=</m:t>
        </m:r>
        <m:d>
          <m:dPr>
            <m:ctrlPr>
              <w:rPr>
                <w:rFonts w:ascii="Cambria Math" w:eastAsiaTheme="minorEastAsia" w:hAnsi="Cambria Math"/>
                <w:i/>
                <w:szCs w:val="24"/>
              </w:rPr>
            </m:ctrlPr>
          </m:dPr>
          <m:e>
            <m:r>
              <w:rPr>
                <w:rFonts w:ascii="Cambria Math" w:eastAsiaTheme="minorEastAsia" w:hAnsi="Cambria Math"/>
                <w:szCs w:val="24"/>
              </w:rPr>
              <m:t>0,28±0,02</m:t>
            </m:r>
          </m:e>
        </m:d>
      </m:oMath>
      <w:r>
        <w:rPr>
          <w:rFonts w:eastAsiaTheme="minorEastAsia"/>
          <w:szCs w:val="24"/>
        </w:rPr>
        <w:t xml:space="preserve"> </w:t>
      </w:r>
      <m:oMath>
        <m:r>
          <m:rPr>
            <m:sty m:val="p"/>
          </m:rPr>
          <w:rPr>
            <w:rFonts w:ascii="Cambria Math" w:eastAsiaTheme="minorEastAsia" w:hAnsi="Cambria Math"/>
            <w:szCs w:val="24"/>
          </w:rPr>
          <m:t>m</m:t>
        </m:r>
        <m:sSup>
          <m:sSupPr>
            <m:ctrlPr>
              <w:rPr>
                <w:rFonts w:ascii="Cambria Math" w:eastAsiaTheme="minorEastAsia" w:hAnsi="Cambria Math"/>
                <w:szCs w:val="24"/>
              </w:rPr>
            </m:ctrlPr>
          </m:sSupPr>
          <m:e>
            <m:r>
              <m:rPr>
                <m:sty m:val="p"/>
              </m:rPr>
              <w:rPr>
                <w:rFonts w:ascii="Cambria Math" w:eastAsiaTheme="minorEastAsia" w:hAnsi="Cambria Math"/>
                <w:szCs w:val="24"/>
              </w:rPr>
              <m:t>∙s</m:t>
            </m:r>
          </m:e>
          <m:sup>
            <m:r>
              <m:rPr>
                <m:sty m:val="p"/>
              </m:rPr>
              <w:rPr>
                <w:rFonts w:ascii="Cambria Math" w:eastAsiaTheme="minorEastAsia" w:hAnsi="Cambria Math"/>
                <w:szCs w:val="24"/>
              </w:rPr>
              <m:t>-1</m:t>
            </m:r>
          </m:sup>
        </m:sSup>
      </m:oMath>
      <w:r>
        <w:rPr>
          <w:rFonts w:eastAsiaTheme="minorEastAsia"/>
          <w:szCs w:val="24"/>
        </w:rPr>
        <w:t xml:space="preserve">, </w:t>
      </w:r>
      <w:r>
        <w:rPr>
          <w:rFonts w:eastAsiaTheme="minorEastAsia"/>
          <w:szCs w:val="24"/>
        </w:rPr>
        <w:br/>
      </w:r>
      <m:oMath>
        <m:r>
          <w:rPr>
            <w:rFonts w:ascii="Cambria Math" w:eastAsiaTheme="minorEastAsia" w:hAnsi="Cambria Math"/>
            <w:szCs w:val="24"/>
          </w:rPr>
          <m:t>∆t=</m:t>
        </m:r>
        <m:d>
          <m:dPr>
            <m:ctrlPr>
              <w:rPr>
                <w:rFonts w:ascii="Cambria Math" w:eastAsiaTheme="minorEastAsia" w:hAnsi="Cambria Math"/>
                <w:i/>
                <w:szCs w:val="24"/>
              </w:rPr>
            </m:ctrlPr>
          </m:dPr>
          <m:e>
            <m:r>
              <w:rPr>
                <w:rFonts w:ascii="Cambria Math" w:eastAsiaTheme="minorEastAsia" w:hAnsi="Cambria Math"/>
                <w:szCs w:val="24"/>
              </w:rPr>
              <m:t>0,219±0,006</m:t>
            </m:r>
          </m:e>
        </m:d>
      </m:oMath>
      <w:r>
        <w:rPr>
          <w:rFonts w:eastAsiaTheme="minorEastAsia"/>
          <w:szCs w:val="24"/>
        </w:rPr>
        <w:t xml:space="preserve"> s. Dosadíme-li tyto hodnoty do vztahu (1.1.1), získáme hodnotu </w:t>
      </w:r>
      <w:r>
        <w:rPr>
          <w:rFonts w:eastAsiaTheme="minorEastAsia"/>
          <w:szCs w:val="24"/>
        </w:rPr>
        <w:lastRenderedPageBreak/>
        <w:t xml:space="preserve">absolutní </w:t>
      </w:r>
      <w:r w:rsidR="00E62B5B">
        <w:rPr>
          <w:rFonts w:eastAsiaTheme="minorEastAsia"/>
          <w:szCs w:val="24"/>
        </w:rPr>
        <w:t>nejistoty</w:t>
      </w:r>
      <w:r>
        <w:rPr>
          <w:rFonts w:eastAsiaTheme="minorEastAsia"/>
          <w:szCs w:val="24"/>
        </w:rPr>
        <w:t xml:space="preserve"> zrychlení: </w:t>
      </w:r>
      <m:oMath>
        <m:r>
          <w:rPr>
            <w:rFonts w:ascii="Cambria Math" w:eastAsiaTheme="minorEastAsia" w:hAnsi="Cambria Math"/>
            <w:szCs w:val="24"/>
          </w:rPr>
          <m:t>∆a=1,2763∙</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0,02</m:t>
                </m:r>
              </m:num>
              <m:den>
                <m:r>
                  <w:rPr>
                    <w:rFonts w:ascii="Cambria Math" w:eastAsiaTheme="minorEastAsia" w:hAnsi="Cambria Math"/>
                    <w:szCs w:val="24"/>
                  </w:rPr>
                  <m:t>0,28</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0,006</m:t>
                </m:r>
              </m:num>
              <m:den>
                <m:r>
                  <w:rPr>
                    <w:rFonts w:ascii="Cambria Math" w:eastAsiaTheme="minorEastAsia" w:hAnsi="Cambria Math"/>
                    <w:szCs w:val="24"/>
                  </w:rPr>
                  <m:t>0,219</m:t>
                </m:r>
              </m:den>
            </m:f>
          </m:e>
        </m:d>
        <m:r>
          <w:rPr>
            <w:rFonts w:ascii="Cambria Math" w:eastAsiaTheme="minorEastAsia" w:hAnsi="Cambria Math"/>
            <w:szCs w:val="24"/>
          </w:rPr>
          <m:t>≐0,1</m:t>
        </m:r>
      </m:oMath>
      <w:r>
        <w:rPr>
          <w:rFonts w:eastAsiaTheme="minorEastAsia"/>
          <w:szCs w:val="24"/>
        </w:rPr>
        <w:t xml:space="preserve"> </w:t>
      </w:r>
      <m:oMath>
        <m:r>
          <m:rPr>
            <m:sty m:val="p"/>
          </m:rPr>
          <w:rPr>
            <w:rFonts w:ascii="Cambria Math" w:eastAsiaTheme="minorEastAsia" w:hAnsi="Cambria Math"/>
            <w:szCs w:val="24"/>
          </w:rPr>
          <m:t>m</m:t>
        </m:r>
        <m:sSup>
          <m:sSupPr>
            <m:ctrlPr>
              <w:rPr>
                <w:rFonts w:ascii="Cambria Math" w:eastAsiaTheme="minorEastAsia" w:hAnsi="Cambria Math"/>
                <w:szCs w:val="24"/>
              </w:rPr>
            </m:ctrlPr>
          </m:sSupPr>
          <m:e>
            <m:r>
              <m:rPr>
                <m:sty m:val="p"/>
              </m:rPr>
              <w:rPr>
                <w:rFonts w:ascii="Cambria Math" w:eastAsiaTheme="minorEastAsia" w:hAnsi="Cambria Math"/>
                <w:szCs w:val="24"/>
              </w:rPr>
              <m:t>∙s</m:t>
            </m:r>
          </m:e>
          <m:sup>
            <m:r>
              <m:rPr>
                <m:sty m:val="p"/>
              </m:rPr>
              <w:rPr>
                <w:rFonts w:ascii="Cambria Math" w:eastAsiaTheme="minorEastAsia" w:hAnsi="Cambria Math"/>
                <w:szCs w:val="24"/>
              </w:rPr>
              <m:t>-2</m:t>
            </m:r>
          </m:sup>
        </m:sSup>
      </m:oMath>
      <w:r>
        <w:rPr>
          <w:rFonts w:eastAsiaTheme="minorEastAsia"/>
          <w:szCs w:val="24"/>
        </w:rPr>
        <w:t>. Hodnoty zrychlení v posledním sloupci tabulky 1.1 tedy zaokrouhlíme na jedno desetinné místo a stejně tak průměrnou hodnotu zrychlení vypočítanou z jednotlivých hodnot.</w:t>
      </w:r>
    </w:p>
    <w:p w:rsidR="00E209A1" w:rsidRPr="00565792" w:rsidRDefault="00E209A1" w:rsidP="00E209A1">
      <w:pPr>
        <w:pStyle w:val="Bntextrga"/>
        <w:spacing w:line="360" w:lineRule="auto"/>
        <w:jc w:val="both"/>
        <w:rPr>
          <w:rFonts w:eastAsiaTheme="minorEastAsia"/>
          <w:szCs w:val="24"/>
        </w:rPr>
      </w:pPr>
    </w:p>
    <w:p w:rsidR="00E209A1" w:rsidRDefault="00E209A1" w:rsidP="00E209A1">
      <w:pPr>
        <w:pStyle w:val="Bntextrga"/>
        <w:spacing w:line="360" w:lineRule="auto"/>
        <w:jc w:val="center"/>
        <w:rPr>
          <w:rFonts w:eastAsiaTheme="minorEastAsia"/>
          <w:szCs w:val="24"/>
        </w:rPr>
      </w:pPr>
      <w:r>
        <w:rPr>
          <w:noProof/>
          <w:lang w:eastAsia="cs-CZ"/>
        </w:rPr>
        <w:drawing>
          <wp:inline distT="0" distB="0" distL="0" distR="0" wp14:anchorId="62A48E2D" wp14:editId="5DEF4111">
            <wp:extent cx="5760000" cy="3240000"/>
            <wp:effectExtent l="0" t="0" r="12700" b="1778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209A1" w:rsidRPr="007A2BCA" w:rsidRDefault="00E209A1" w:rsidP="00E209A1">
      <w:pPr>
        <w:pStyle w:val="Bntextrga"/>
        <w:spacing w:line="360" w:lineRule="auto"/>
        <w:jc w:val="center"/>
        <w:rPr>
          <w:rFonts w:eastAsiaTheme="minorEastAsia"/>
          <w:sz w:val="20"/>
          <w:szCs w:val="20"/>
        </w:rPr>
      </w:pPr>
      <w:r w:rsidRPr="007A2BCA">
        <w:rPr>
          <w:rFonts w:eastAsiaTheme="minorEastAsia"/>
          <w:sz w:val="20"/>
          <w:szCs w:val="20"/>
        </w:rPr>
        <w:t>Obr. 1.1.</w:t>
      </w:r>
      <w:r>
        <w:rPr>
          <w:rFonts w:eastAsiaTheme="minorEastAsia"/>
          <w:sz w:val="20"/>
          <w:szCs w:val="20"/>
        </w:rPr>
        <w:t>5</w:t>
      </w:r>
      <w:r w:rsidRPr="007A2BCA">
        <w:rPr>
          <w:rFonts w:eastAsiaTheme="minorEastAsia"/>
          <w:sz w:val="20"/>
          <w:szCs w:val="20"/>
        </w:rPr>
        <w:t xml:space="preserve"> </w:t>
      </w:r>
      <w:r>
        <w:rPr>
          <w:rFonts w:eastAsiaTheme="minorEastAsia"/>
          <w:sz w:val="20"/>
          <w:szCs w:val="20"/>
        </w:rPr>
        <w:t>Graf hodnot zrychlení podle tabulky 1.1</w:t>
      </w:r>
      <w:r w:rsidRPr="007A2BCA">
        <w:rPr>
          <w:rFonts w:eastAsiaTheme="minorEastAsia"/>
          <w:sz w:val="20"/>
          <w:szCs w:val="20"/>
        </w:rPr>
        <w:t xml:space="preserve"> – Měření zrychlení na nakloněné rovině</w:t>
      </w:r>
    </w:p>
    <w:p w:rsidR="00E209A1" w:rsidRPr="000241B1" w:rsidRDefault="00E209A1" w:rsidP="00E209A1">
      <w:pPr>
        <w:pStyle w:val="Bntextrga"/>
        <w:spacing w:line="360" w:lineRule="auto"/>
        <w:jc w:val="right"/>
        <w:rPr>
          <w:rFonts w:eastAsiaTheme="minorEastAsia"/>
          <w:szCs w:val="24"/>
        </w:rPr>
      </w:pPr>
    </w:p>
    <w:p w:rsidR="00E209A1" w:rsidRDefault="00E209A1" w:rsidP="00E209A1">
      <w:pPr>
        <w:pStyle w:val="Bntextrga"/>
        <w:spacing w:line="360" w:lineRule="auto"/>
        <w:rPr>
          <w:rFonts w:eastAsiaTheme="minorEastAsia"/>
          <w:szCs w:val="24"/>
        </w:rPr>
      </w:pPr>
      <w:r>
        <w:rPr>
          <w:rFonts w:eastAsiaTheme="minorEastAsia"/>
          <w:b/>
          <w:szCs w:val="24"/>
        </w:rPr>
        <w:t>Závěr</w:t>
      </w:r>
    </w:p>
    <w:p w:rsidR="00E209A1" w:rsidRDefault="00E209A1" w:rsidP="00E209A1">
      <w:pPr>
        <w:pStyle w:val="Bntextrga"/>
        <w:spacing w:line="360" w:lineRule="auto"/>
        <w:rPr>
          <w:rFonts w:eastAsiaTheme="minorEastAsia"/>
          <w:szCs w:val="24"/>
        </w:rPr>
      </w:pPr>
      <w:r>
        <w:rPr>
          <w:rFonts w:eastAsiaTheme="minorEastAsia"/>
          <w:szCs w:val="24"/>
        </w:rPr>
        <w:t xml:space="preserve">Hodnota zrychlení naměřená na nakloněné rovině pro úhel sklonu 30° má velikost </w:t>
      </w:r>
      <w:r>
        <w:rPr>
          <w:rFonts w:eastAsiaTheme="minorEastAsia"/>
          <w:szCs w:val="24"/>
        </w:rPr>
        <w:br/>
      </w:r>
      <m:oMath>
        <m:r>
          <w:rPr>
            <w:rFonts w:ascii="Cambria Math" w:eastAsiaTheme="minorEastAsia" w:hAnsi="Cambria Math"/>
            <w:szCs w:val="24"/>
          </w:rPr>
          <m:t>a=</m:t>
        </m:r>
        <m:d>
          <m:dPr>
            <m:ctrlPr>
              <w:rPr>
                <w:rFonts w:ascii="Cambria Math" w:eastAsiaTheme="minorEastAsia" w:hAnsi="Cambria Math"/>
                <w:i/>
                <w:szCs w:val="24"/>
              </w:rPr>
            </m:ctrlPr>
          </m:dPr>
          <m:e>
            <m:r>
              <w:rPr>
                <w:rFonts w:ascii="Cambria Math" w:eastAsiaTheme="minorEastAsia" w:hAnsi="Cambria Math"/>
                <w:szCs w:val="24"/>
              </w:rPr>
              <m:t>1,3±0,1</m:t>
            </m:r>
          </m:e>
        </m:d>
      </m:oMath>
      <w:r w:rsidRPr="003942EE">
        <w:rPr>
          <w:rFonts w:eastAsiaTheme="minorEastAsia"/>
          <w:szCs w:val="24"/>
        </w:rPr>
        <w:t xml:space="preserve"> </w:t>
      </w:r>
      <m:oMath>
        <m:r>
          <m:rPr>
            <m:sty m:val="p"/>
          </m:rPr>
          <w:rPr>
            <w:rFonts w:ascii="Cambria Math" w:eastAsiaTheme="minorEastAsia" w:hAnsi="Cambria Math"/>
            <w:szCs w:val="24"/>
          </w:rPr>
          <m:t>m</m:t>
        </m:r>
        <m:sSup>
          <m:sSupPr>
            <m:ctrlPr>
              <w:rPr>
                <w:rFonts w:ascii="Cambria Math" w:eastAsiaTheme="minorEastAsia" w:hAnsi="Cambria Math"/>
                <w:szCs w:val="24"/>
              </w:rPr>
            </m:ctrlPr>
          </m:sSupPr>
          <m:e>
            <m:r>
              <m:rPr>
                <m:sty m:val="p"/>
              </m:rPr>
              <w:rPr>
                <w:rFonts w:ascii="Cambria Math" w:eastAsiaTheme="minorEastAsia" w:hAnsi="Cambria Math"/>
                <w:szCs w:val="24"/>
              </w:rPr>
              <m:t>∙s</m:t>
            </m:r>
          </m:e>
          <m:sup>
            <m:r>
              <m:rPr>
                <m:sty m:val="p"/>
              </m:rPr>
              <w:rPr>
                <w:rFonts w:ascii="Cambria Math" w:eastAsiaTheme="minorEastAsia" w:hAnsi="Cambria Math"/>
                <w:szCs w:val="24"/>
              </w:rPr>
              <m:t>-2</m:t>
            </m:r>
          </m:sup>
        </m:sSup>
      </m:oMath>
      <w:r>
        <w:rPr>
          <w:rFonts w:eastAsiaTheme="minorEastAsia"/>
          <w:szCs w:val="24"/>
        </w:rPr>
        <w:t xml:space="preserve">. Relativní </w:t>
      </w:r>
      <w:r w:rsidR="00E62B5B">
        <w:rPr>
          <w:rFonts w:eastAsiaTheme="minorEastAsia"/>
          <w:szCs w:val="24"/>
        </w:rPr>
        <w:t>nejistota</w:t>
      </w:r>
      <w:r>
        <w:rPr>
          <w:rFonts w:eastAsiaTheme="minorEastAsia"/>
          <w:szCs w:val="24"/>
        </w:rPr>
        <w:t xml:space="preserve"> měření je </w:t>
      </w:r>
      <m:oMath>
        <m:r>
          <w:rPr>
            <w:rFonts w:ascii="Cambria Math" w:eastAsiaTheme="minorEastAsia" w:hAnsi="Cambria Math"/>
            <w:szCs w:val="24"/>
          </w:rPr>
          <m:t>δa=</m:t>
        </m:r>
        <m:f>
          <m:fPr>
            <m:ctrlPr>
              <w:rPr>
                <w:rFonts w:ascii="Cambria Math" w:eastAsiaTheme="minorEastAsia" w:hAnsi="Cambria Math"/>
                <w:i/>
                <w:szCs w:val="24"/>
              </w:rPr>
            </m:ctrlPr>
          </m:fPr>
          <m:num>
            <m:r>
              <w:rPr>
                <w:rFonts w:ascii="Cambria Math" w:eastAsiaTheme="minorEastAsia" w:hAnsi="Cambria Math"/>
                <w:szCs w:val="24"/>
              </w:rPr>
              <m:t>0,1</m:t>
            </m:r>
          </m:num>
          <m:den>
            <w:proofErr w:type="gramStart"/>
            <m:r>
              <w:rPr>
                <w:rFonts w:ascii="Cambria Math" w:eastAsiaTheme="minorEastAsia" w:hAnsi="Cambria Math"/>
                <w:szCs w:val="24"/>
              </w:rPr>
              <m:t>1,3</m:t>
            </m:r>
          </m:den>
        </m:f>
        <m:r>
          <w:rPr>
            <w:rFonts w:ascii="Cambria Math" w:eastAsiaTheme="minorEastAsia" w:hAnsi="Cambria Math"/>
            <w:szCs w:val="24"/>
          </w:rPr>
          <m:t>≐0,0769≐8</m:t>
        </m:r>
        <w:proofErr w:type="gramEnd"/>
        <m:r>
          <w:rPr>
            <w:rFonts w:ascii="Cambria Math" w:eastAsiaTheme="minorEastAsia" w:hAnsi="Cambria Math"/>
            <w:szCs w:val="24"/>
          </w:rPr>
          <m:t xml:space="preserve"> %</m:t>
        </m:r>
      </m:oMath>
      <w:r>
        <w:rPr>
          <w:rFonts w:eastAsiaTheme="minorEastAsia"/>
          <w:szCs w:val="24"/>
        </w:rPr>
        <w:t xml:space="preserve">. </w:t>
      </w:r>
    </w:p>
    <w:p w:rsidR="009F1ED9" w:rsidRDefault="009F1ED9" w:rsidP="00E209A1">
      <w:pPr>
        <w:pStyle w:val="Bntextrga"/>
        <w:spacing w:line="360" w:lineRule="auto"/>
        <w:rPr>
          <w:rFonts w:eastAsiaTheme="minorEastAsia"/>
          <w:b/>
          <w:szCs w:val="24"/>
        </w:rPr>
      </w:pPr>
    </w:p>
    <w:p w:rsidR="00E209A1" w:rsidRDefault="00E209A1" w:rsidP="00E209A1">
      <w:pPr>
        <w:pStyle w:val="Bntextrga"/>
        <w:spacing w:line="360" w:lineRule="auto"/>
        <w:rPr>
          <w:rFonts w:eastAsiaTheme="minorEastAsia"/>
          <w:szCs w:val="24"/>
        </w:rPr>
      </w:pPr>
      <w:bookmarkStart w:id="1" w:name="_GoBack"/>
      <w:bookmarkEnd w:id="1"/>
      <w:r w:rsidRPr="0055352D">
        <w:rPr>
          <w:rFonts w:eastAsiaTheme="minorEastAsia"/>
          <w:b/>
          <w:szCs w:val="24"/>
        </w:rPr>
        <w:t>Otázky na závěr</w:t>
      </w:r>
    </w:p>
    <w:p w:rsidR="00E209A1" w:rsidRDefault="00E209A1" w:rsidP="00E209A1">
      <w:pPr>
        <w:pStyle w:val="Bntextrga"/>
        <w:spacing w:line="360" w:lineRule="auto"/>
        <w:rPr>
          <w:rFonts w:eastAsiaTheme="minorEastAsia"/>
          <w:szCs w:val="24"/>
        </w:rPr>
      </w:pPr>
      <w:r>
        <w:rPr>
          <w:rFonts w:eastAsiaTheme="minorEastAsia"/>
          <w:szCs w:val="24"/>
        </w:rPr>
        <w:t>1. Jak se změní velikost zrychlení, pokud zvětšíme úhel sklonu?</w:t>
      </w:r>
    </w:p>
    <w:p w:rsidR="00262990" w:rsidRDefault="00E209A1" w:rsidP="00E209A1">
      <w:r>
        <w:rPr>
          <w:rFonts w:eastAsiaTheme="minorEastAsia"/>
          <w:szCs w:val="24"/>
        </w:rPr>
        <w:t xml:space="preserve">2. </w:t>
      </w:r>
      <w:r w:rsidRPr="00133D7E">
        <w:rPr>
          <w:rFonts w:ascii="Times New Roman" w:eastAsiaTheme="minorEastAsia" w:hAnsi="Times New Roman" w:cs="Times New Roman"/>
          <w:szCs w:val="24"/>
        </w:rPr>
        <w:t xml:space="preserve">Jak bychom mohli zvýšit přesnost měření, tj. zmenšit relativní </w:t>
      </w:r>
      <w:r w:rsidR="00E62B5B">
        <w:rPr>
          <w:rFonts w:ascii="Times New Roman" w:eastAsiaTheme="minorEastAsia" w:hAnsi="Times New Roman" w:cs="Times New Roman"/>
          <w:szCs w:val="24"/>
        </w:rPr>
        <w:t>nejistotu</w:t>
      </w:r>
      <w:r w:rsidRPr="00133D7E">
        <w:rPr>
          <w:rFonts w:ascii="Times New Roman" w:eastAsiaTheme="minorEastAsia" w:hAnsi="Times New Roman" w:cs="Times New Roman"/>
          <w:szCs w:val="24"/>
        </w:rPr>
        <w:t xml:space="preserve"> pod 5 %?</w:t>
      </w:r>
    </w:p>
    <w:sectPr w:rsidR="00262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9A1"/>
    <w:rsid w:val="00120943"/>
    <w:rsid w:val="00133D7E"/>
    <w:rsid w:val="00262990"/>
    <w:rsid w:val="00536FBD"/>
    <w:rsid w:val="009F1ED9"/>
    <w:rsid w:val="00C26C12"/>
    <w:rsid w:val="00E209A1"/>
    <w:rsid w:val="00E62B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09A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20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kapitola">
    <w:name w:val="Podkapitola"/>
    <w:basedOn w:val="Normln"/>
    <w:next w:val="Normln"/>
    <w:link w:val="PodkapitolaChar"/>
    <w:autoRedefine/>
    <w:qFormat/>
    <w:rsid w:val="00133D7E"/>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E209A1"/>
    <w:rPr>
      <w:rFonts w:ascii="Times New Roman" w:hAnsi="Times New Roman"/>
      <w:sz w:val="24"/>
    </w:rPr>
  </w:style>
  <w:style w:type="character" w:customStyle="1" w:styleId="PodkapitolaChar">
    <w:name w:val="Podkapitola Char"/>
    <w:basedOn w:val="Standardnpsmoodstavce"/>
    <w:link w:val="Podkapitola"/>
    <w:rsid w:val="00133D7E"/>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E209A1"/>
    <w:rPr>
      <w:rFonts w:ascii="Times New Roman" w:hAnsi="Times New Roman"/>
      <w:sz w:val="24"/>
    </w:rPr>
  </w:style>
  <w:style w:type="character" w:styleId="Hypertextovodkaz">
    <w:name w:val="Hyperlink"/>
    <w:basedOn w:val="Standardnpsmoodstavce"/>
    <w:uiPriority w:val="99"/>
    <w:unhideWhenUsed/>
    <w:rsid w:val="00E209A1"/>
    <w:rPr>
      <w:color w:val="0000FF" w:themeColor="hyperlink"/>
      <w:u w:val="single"/>
    </w:rPr>
  </w:style>
  <w:style w:type="paragraph" w:styleId="Textbubliny">
    <w:name w:val="Balloon Text"/>
    <w:basedOn w:val="Normln"/>
    <w:link w:val="TextbublinyChar"/>
    <w:uiPriority w:val="99"/>
    <w:semiHidden/>
    <w:unhideWhenUsed/>
    <w:rsid w:val="00E209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09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09A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20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kapitola">
    <w:name w:val="Podkapitola"/>
    <w:basedOn w:val="Normln"/>
    <w:next w:val="Normln"/>
    <w:link w:val="PodkapitolaChar"/>
    <w:autoRedefine/>
    <w:qFormat/>
    <w:rsid w:val="00133D7E"/>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E209A1"/>
    <w:rPr>
      <w:rFonts w:ascii="Times New Roman" w:hAnsi="Times New Roman"/>
      <w:sz w:val="24"/>
    </w:rPr>
  </w:style>
  <w:style w:type="character" w:customStyle="1" w:styleId="PodkapitolaChar">
    <w:name w:val="Podkapitola Char"/>
    <w:basedOn w:val="Standardnpsmoodstavce"/>
    <w:link w:val="Podkapitola"/>
    <w:rsid w:val="00133D7E"/>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E209A1"/>
    <w:rPr>
      <w:rFonts w:ascii="Times New Roman" w:hAnsi="Times New Roman"/>
      <w:sz w:val="24"/>
    </w:rPr>
  </w:style>
  <w:style w:type="character" w:styleId="Hypertextovodkaz">
    <w:name w:val="Hyperlink"/>
    <w:basedOn w:val="Standardnpsmoodstavce"/>
    <w:uiPriority w:val="99"/>
    <w:unhideWhenUsed/>
    <w:rsid w:val="00E209A1"/>
    <w:rPr>
      <w:color w:val="0000FF" w:themeColor="hyperlink"/>
      <w:u w:val="single"/>
    </w:rPr>
  </w:style>
  <w:style w:type="paragraph" w:styleId="Textbubliny">
    <w:name w:val="Balloon Text"/>
    <w:basedOn w:val="Normln"/>
    <w:link w:val="TextbublinyChar"/>
    <w:uiPriority w:val="99"/>
    <w:semiHidden/>
    <w:unhideWhenUsed/>
    <w:rsid w:val="00E209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09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sclpx.eu/lab1R.php?exp=5"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4.jpg"/></Relationships>
</file>

<file path=word/charts/_rels/chart1.xml.rels><?xml version="1.0" encoding="UTF-8" standalone="yes"?>
<Relationships xmlns="http://schemas.openxmlformats.org/package/2006/relationships"><Relationship Id="rId1" Type="http://schemas.openxmlformats.org/officeDocument/2006/relationships/oleObject" Target="file:///C:\PhD\excel-tabulky-k-experiment&#367;m\1_1_mereni_zrychleni_na_naklonene_rovi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210576526035512"/>
          <c:y val="0.16921827538763565"/>
          <c:w val="0.5108832282040694"/>
          <c:h val="0.65329803760674676"/>
        </c:manualLayout>
      </c:layout>
      <c:scatterChart>
        <c:scatterStyle val="lineMarker"/>
        <c:varyColors val="0"/>
        <c:ser>
          <c:idx val="0"/>
          <c:order val="0"/>
          <c:spPr>
            <a:ln w="28575">
              <a:noFill/>
            </a:ln>
          </c:spPr>
          <c:marker>
            <c:symbol val="diamond"/>
            <c:size val="7"/>
          </c:marker>
          <c:errBars>
            <c:errDir val="y"/>
            <c:errBarType val="both"/>
            <c:errValType val="stdErr"/>
            <c:noEndCap val="0"/>
          </c:errBars>
          <c:yVal>
            <c:numRef>
              <c:f>List1!$G$2:$G$6</c:f>
              <c:numCache>
                <c:formatCode>0.00</c:formatCode>
                <c:ptCount val="5"/>
                <c:pt idx="0">
                  <c:v>1.4124293785310738</c:v>
                </c:pt>
                <c:pt idx="1">
                  <c:v>1.2258908139915003</c:v>
                </c:pt>
                <c:pt idx="2">
                  <c:v>1.4369192451384232</c:v>
                </c:pt>
                <c:pt idx="3">
                  <c:v>1.1392116655274553</c:v>
                </c:pt>
                <c:pt idx="4">
                  <c:v>1.1671335200746968</c:v>
                </c:pt>
              </c:numCache>
            </c:numRef>
          </c:yVal>
          <c:smooth val="0"/>
        </c:ser>
        <c:dLbls>
          <c:showLegendKey val="0"/>
          <c:showVal val="0"/>
          <c:showCatName val="0"/>
          <c:showSerName val="0"/>
          <c:showPercent val="0"/>
          <c:showBubbleSize val="0"/>
        </c:dLbls>
        <c:axId val="168146048"/>
        <c:axId val="168147968"/>
      </c:scatterChart>
      <c:valAx>
        <c:axId val="168146048"/>
        <c:scaling>
          <c:orientation val="minMax"/>
        </c:scaling>
        <c:delete val="0"/>
        <c:axPos val="b"/>
        <c:title>
          <c:tx>
            <c:rich>
              <a:bodyPr/>
              <a:lstStyle/>
              <a:p>
                <a:pPr>
                  <a:defRPr sz="1200" b="0">
                    <a:latin typeface="Times New Roman" panose="02020603050405020304" pitchFamily="18" charset="0"/>
                    <a:cs typeface="Times New Roman" panose="02020603050405020304" pitchFamily="18" charset="0"/>
                  </a:defRPr>
                </a:pPr>
                <a:r>
                  <a:rPr lang="cs-CZ" sz="1200" b="0">
                    <a:latin typeface="Times New Roman" panose="02020603050405020304" pitchFamily="18" charset="0"/>
                    <a:cs typeface="Times New Roman" panose="02020603050405020304" pitchFamily="18" charset="0"/>
                  </a:rPr>
                  <a:t>č.</a:t>
                </a:r>
                <a:r>
                  <a:rPr lang="cs-CZ" sz="1200" b="0" baseline="0">
                    <a:latin typeface="Times New Roman" panose="02020603050405020304" pitchFamily="18" charset="0"/>
                    <a:cs typeface="Times New Roman" panose="02020603050405020304" pitchFamily="18" charset="0"/>
                  </a:rPr>
                  <a:t> měření</a:t>
                </a:r>
                <a:endParaRPr lang="cs-CZ" sz="1200" b="0">
                  <a:latin typeface="Times New Roman" panose="02020603050405020304" pitchFamily="18" charset="0"/>
                  <a:cs typeface="Times New Roman" panose="02020603050405020304" pitchFamily="18" charset="0"/>
                </a:endParaRPr>
              </a:p>
            </c:rich>
          </c:tx>
          <c:layout>
            <c:manualLayout>
              <c:xMode val="edge"/>
              <c:yMode val="edge"/>
              <c:x val="0.71362921406976021"/>
              <c:y val="0.82271450401790003"/>
            </c:manualLayout>
          </c:layout>
          <c:overlay val="0"/>
        </c:title>
        <c:majorTickMark val="out"/>
        <c:minorTickMark val="none"/>
        <c:tickLblPos val="nextTo"/>
        <c:crossAx val="168147968"/>
        <c:crosses val="autoZero"/>
        <c:crossBetween val="midCat"/>
      </c:valAx>
      <c:valAx>
        <c:axId val="168147968"/>
        <c:scaling>
          <c:orientation val="minMax"/>
        </c:scaling>
        <c:delete val="0"/>
        <c:axPos val="l"/>
        <c:majorGridlines/>
        <c:title>
          <c:tx>
            <c:rich>
              <a:bodyPr rot="0" vert="horz"/>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a</a:t>
                </a:r>
                <a:r>
                  <a:rPr lang="cs-CZ" sz="1200" b="0" baseline="0">
                    <a:latin typeface="Times New Roman" panose="02020603050405020304" pitchFamily="18" charset="0"/>
                    <a:cs typeface="Times New Roman" panose="02020603050405020304" pitchFamily="18" charset="0"/>
                  </a:rPr>
                  <a:t> (</a:t>
                </a:r>
                <a:r>
                  <a:rPr lang="cs-CZ" sz="1100" b="0" i="0">
                    <a:effectLst/>
                  </a:rPr>
                  <a:t>m ∙ s</a:t>
                </a:r>
                <a:r>
                  <a:rPr lang="cs-CZ" sz="1100" b="0" i="0" baseline="30000">
                    <a:effectLst/>
                  </a:rPr>
                  <a:t>−2</a:t>
                </a:r>
                <a:r>
                  <a:rPr lang="cs-CZ" sz="1200" b="0" baseline="0">
                    <a:latin typeface="Times New Roman" panose="02020603050405020304" pitchFamily="18" charset="0"/>
                    <a:cs typeface="Times New Roman" panose="02020603050405020304" pitchFamily="18" charset="0"/>
                  </a:rPr>
                  <a:t>)</a:t>
                </a:r>
                <a:endParaRPr lang="cs-CZ" sz="1200" b="0">
                  <a:latin typeface="Times New Roman" panose="02020603050405020304" pitchFamily="18" charset="0"/>
                  <a:cs typeface="Times New Roman" panose="02020603050405020304" pitchFamily="18" charset="0"/>
                </a:endParaRPr>
              </a:p>
            </c:rich>
          </c:tx>
          <c:layout>
            <c:manualLayout>
              <c:xMode val="edge"/>
              <c:yMode val="edge"/>
              <c:x val="9.6312184117481187E-2"/>
              <c:y val="5.9833568432326983E-2"/>
            </c:manualLayout>
          </c:layout>
          <c:overlay val="0"/>
        </c:title>
        <c:numFmt formatCode="0.00" sourceLinked="1"/>
        <c:majorTickMark val="out"/>
        <c:minorTickMark val="none"/>
        <c:tickLblPos val="nextTo"/>
        <c:crossAx val="16814604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816</Words>
  <Characters>4817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cenda</dc:creator>
  <cp:lastModifiedBy>imhotep</cp:lastModifiedBy>
  <cp:revision>4</cp:revision>
  <cp:lastPrinted>2016-01-20T15:51:00Z</cp:lastPrinted>
  <dcterms:created xsi:type="dcterms:W3CDTF">2016-01-20T15:50:00Z</dcterms:created>
  <dcterms:modified xsi:type="dcterms:W3CDTF">2016-01-20T15:51:00Z</dcterms:modified>
</cp:coreProperties>
</file>