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1B7" w:rsidRPr="009941B7" w:rsidRDefault="00234F47" w:rsidP="009941B7">
      <w:pPr>
        <w:pStyle w:val="Bntextrga"/>
        <w:spacing w:line="360" w:lineRule="auto"/>
        <w:jc w:val="both"/>
        <w:rPr>
          <w:rFonts w:asciiTheme="minorHAnsi" w:hAnsiTheme="minorHAnsi" w:cstheme="minorHAnsi"/>
          <w:sz w:val="22"/>
        </w:rPr>
      </w:pPr>
      <w:r>
        <w:rPr>
          <w:rFonts w:asciiTheme="minorHAnsi" w:hAnsiTheme="minorHAnsi" w:cstheme="minorHAnsi"/>
          <w:b/>
          <w:sz w:val="22"/>
        </w:rPr>
        <w:t xml:space="preserve"> </w:t>
      </w:r>
    </w:p>
    <w:p w:rsidR="009941B7" w:rsidRPr="009941B7" w:rsidRDefault="009941B7" w:rsidP="004D172C">
      <w:pPr>
        <w:pStyle w:val="Bntextrga"/>
        <w:tabs>
          <w:tab w:val="left" w:pos="851"/>
        </w:tabs>
        <w:jc w:val="both"/>
        <w:rPr>
          <w:rFonts w:asciiTheme="minorHAnsi" w:hAnsiTheme="minorHAnsi" w:cstheme="minorHAnsi"/>
          <w:sz w:val="22"/>
        </w:rPr>
      </w:pPr>
      <w:r w:rsidRPr="009941B7">
        <w:rPr>
          <w:rFonts w:asciiTheme="minorHAnsi" w:hAnsiTheme="minorHAnsi" w:cstheme="minorHAnsi"/>
          <w:sz w:val="22"/>
          <w:u w:val="single"/>
        </w:rPr>
        <w:t>Pomůcky:</w:t>
      </w:r>
      <w:r w:rsidRPr="009941B7">
        <w:rPr>
          <w:rFonts w:asciiTheme="minorHAnsi" w:hAnsiTheme="minorHAnsi" w:cstheme="minorHAnsi"/>
          <w:sz w:val="22"/>
        </w:rPr>
        <w:t xml:space="preserve"> zvuková karta, mikrofonní elektrodynamická kapsle typ SA-18, magnet, laboratorní stojan.</w:t>
      </w:r>
    </w:p>
    <w:p w:rsidR="009941B7" w:rsidRPr="009941B7" w:rsidRDefault="009941B7" w:rsidP="004D172C">
      <w:pPr>
        <w:pStyle w:val="Bntextrga"/>
        <w:tabs>
          <w:tab w:val="left" w:pos="851"/>
        </w:tabs>
        <w:jc w:val="both"/>
        <w:rPr>
          <w:rFonts w:asciiTheme="minorHAnsi" w:hAnsiTheme="minorHAnsi" w:cstheme="minorHAnsi"/>
          <w:sz w:val="22"/>
        </w:rPr>
      </w:pPr>
      <w:r w:rsidRPr="009941B7">
        <w:rPr>
          <w:rFonts w:asciiTheme="minorHAnsi" w:hAnsiTheme="minorHAnsi" w:cstheme="minorHAnsi"/>
          <w:sz w:val="22"/>
          <w:u w:val="single"/>
        </w:rPr>
        <w:t>Postup práce:</w:t>
      </w:r>
      <w:r w:rsidRPr="009941B7">
        <w:rPr>
          <w:rFonts w:asciiTheme="minorHAnsi" w:hAnsiTheme="minorHAnsi" w:cstheme="minorHAnsi"/>
          <w:sz w:val="22"/>
        </w:rPr>
        <w:t xml:space="preserve"> mikrofonní kapsli opatřenou kabelovým výstupem s </w:t>
      </w:r>
      <w:proofErr w:type="gramStart"/>
      <w:r w:rsidRPr="009941B7">
        <w:rPr>
          <w:rFonts w:asciiTheme="minorHAnsi" w:hAnsiTheme="minorHAnsi" w:cstheme="minorHAnsi"/>
          <w:sz w:val="22"/>
        </w:rPr>
        <w:t>jack</w:t>
      </w:r>
      <w:proofErr w:type="gramEnd"/>
      <w:r w:rsidRPr="009941B7">
        <w:rPr>
          <w:rFonts w:asciiTheme="minorHAnsi" w:hAnsiTheme="minorHAnsi" w:cstheme="minorHAnsi"/>
          <w:sz w:val="22"/>
        </w:rPr>
        <w:t xml:space="preserve"> konektorem upevníme do držáku zkumavek na laboratorním stojanu a připojíme ke zvukové kartě PC, viz obr. 46.</w:t>
      </w:r>
    </w:p>
    <w:p w:rsidR="009941B7" w:rsidRPr="009941B7" w:rsidRDefault="009941B7" w:rsidP="009941B7">
      <w:pPr>
        <w:pStyle w:val="Bntextrga"/>
        <w:tabs>
          <w:tab w:val="left" w:pos="851"/>
        </w:tabs>
        <w:jc w:val="center"/>
        <w:rPr>
          <w:rFonts w:asciiTheme="minorHAnsi" w:hAnsiTheme="minorHAnsi" w:cstheme="minorHAnsi"/>
          <w:sz w:val="22"/>
        </w:rPr>
      </w:pPr>
      <w:r w:rsidRPr="009941B7">
        <w:rPr>
          <w:rFonts w:asciiTheme="minorHAnsi" w:hAnsiTheme="minorHAnsi" w:cstheme="minorHAnsi"/>
          <w:noProof/>
          <w:sz w:val="22"/>
          <w:lang w:eastAsia="cs-CZ"/>
        </w:rPr>
        <w:drawing>
          <wp:inline distT="0" distB="0" distL="0" distR="0">
            <wp:extent cx="4320000" cy="2994594"/>
            <wp:effectExtent l="19050" t="0" r="4350" b="0"/>
            <wp:docPr id="38" name="Obrázek 37" descr="Obr46-elektromagneticka-indu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6-elektromagneticka-indukce.jpg"/>
                    <pic:cNvPicPr/>
                  </pic:nvPicPr>
                  <pic:blipFill>
                    <a:blip r:embed="rId7" cstate="print"/>
                    <a:stretch>
                      <a:fillRect/>
                    </a:stretch>
                  </pic:blipFill>
                  <pic:spPr>
                    <a:xfrm>
                      <a:off x="0" y="0"/>
                      <a:ext cx="4320000" cy="2994594"/>
                    </a:xfrm>
                    <a:prstGeom prst="rect">
                      <a:avLst/>
                    </a:prstGeom>
                  </pic:spPr>
                </pic:pic>
              </a:graphicData>
            </a:graphic>
          </wp:inline>
        </w:drawing>
      </w: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sz w:val="22"/>
        </w:rPr>
        <w:t>Obr. 46 Uspořádání experimentu s detailem mikrofonní kapsle</w:t>
      </w:r>
    </w:p>
    <w:p w:rsidR="009941B7" w:rsidRPr="009941B7" w:rsidRDefault="009941B7" w:rsidP="009941B7">
      <w:pPr>
        <w:pStyle w:val="Bntextrga"/>
        <w:spacing w:line="360" w:lineRule="auto"/>
        <w:jc w:val="both"/>
        <w:rPr>
          <w:rFonts w:asciiTheme="minorHAnsi" w:hAnsiTheme="minorHAnsi" w:cstheme="minorHAnsi"/>
          <w:sz w:val="22"/>
        </w:rPr>
      </w:pPr>
      <w:r w:rsidRPr="009941B7">
        <w:rPr>
          <w:rFonts w:asciiTheme="minorHAnsi" w:hAnsiTheme="minorHAnsi" w:cstheme="minorHAnsi"/>
          <w:sz w:val="22"/>
        </w:rPr>
        <w:t>Permanentním magnetem pohybujeme nejprve pomalu a poté rychle kolem vrchní části mikrofonní kapsle, ve které je zapouzdřena cívka, viz obr. 47.</w:t>
      </w: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noProof/>
          <w:sz w:val="22"/>
          <w:lang w:eastAsia="cs-CZ"/>
        </w:rPr>
        <w:drawing>
          <wp:inline distT="0" distB="0" distL="0" distR="0">
            <wp:extent cx="4320000" cy="2994594"/>
            <wp:effectExtent l="19050" t="0" r="4350" b="0"/>
            <wp:docPr id="39" name="Obrázek 38" descr="Obr47-elmg-indukce-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7-elmg-indukce-detail.jpg"/>
                    <pic:cNvPicPr/>
                  </pic:nvPicPr>
                  <pic:blipFill>
                    <a:blip r:embed="rId8" cstate="print"/>
                    <a:stretch>
                      <a:fillRect/>
                    </a:stretch>
                  </pic:blipFill>
                  <pic:spPr>
                    <a:xfrm>
                      <a:off x="0" y="0"/>
                      <a:ext cx="4320000" cy="2994594"/>
                    </a:xfrm>
                    <a:prstGeom prst="rect">
                      <a:avLst/>
                    </a:prstGeom>
                  </pic:spPr>
                </pic:pic>
              </a:graphicData>
            </a:graphic>
          </wp:inline>
        </w:drawing>
      </w: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sz w:val="22"/>
        </w:rPr>
        <w:t>Obr. 47 Pohyb magnetu kolem cívky elektrodynamického mikrofonu</w:t>
      </w:r>
    </w:p>
    <w:p w:rsidR="009941B7" w:rsidRPr="009941B7" w:rsidRDefault="009941B7" w:rsidP="009941B7">
      <w:pPr>
        <w:pStyle w:val="Bntextrga"/>
        <w:rPr>
          <w:rFonts w:asciiTheme="minorHAnsi" w:hAnsiTheme="minorHAnsi" w:cstheme="minorHAnsi"/>
          <w:sz w:val="22"/>
        </w:rPr>
      </w:pPr>
    </w:p>
    <w:p w:rsidR="009941B7" w:rsidRPr="009941B7" w:rsidRDefault="009941B7" w:rsidP="009941B7">
      <w:pPr>
        <w:pStyle w:val="Bntextrga"/>
        <w:spacing w:line="360" w:lineRule="auto"/>
        <w:jc w:val="both"/>
        <w:rPr>
          <w:rFonts w:asciiTheme="minorHAnsi" w:hAnsiTheme="minorHAnsi" w:cstheme="minorHAnsi"/>
          <w:sz w:val="22"/>
        </w:rPr>
      </w:pPr>
      <w:r w:rsidRPr="009941B7">
        <w:rPr>
          <w:rFonts w:asciiTheme="minorHAnsi" w:hAnsiTheme="minorHAnsi" w:cstheme="minorHAnsi"/>
          <w:sz w:val="22"/>
        </w:rPr>
        <w:t>Můžeme při tom položit studentům problémovou otázku, jestli má rychlost pohybu vliv na velikost indukovaného napětí. Výsledné grafy záznamu signálu pro pomalý pohyb magnetu kolem kapsle vidíme na obr. 48, rychlý pohyb magnetu je zaznamenán na obr. 49.</w:t>
      </w:r>
    </w:p>
    <w:p w:rsidR="009941B7" w:rsidRPr="009941B7" w:rsidRDefault="009941B7" w:rsidP="009941B7">
      <w:pPr>
        <w:pStyle w:val="Bntextrga"/>
        <w:rPr>
          <w:rFonts w:asciiTheme="minorHAnsi" w:hAnsiTheme="minorHAnsi" w:cstheme="minorHAnsi"/>
          <w:sz w:val="22"/>
          <w:u w:val="single"/>
        </w:rPr>
      </w:pPr>
      <w:r w:rsidRPr="009941B7">
        <w:rPr>
          <w:rFonts w:asciiTheme="minorHAnsi" w:hAnsiTheme="minorHAnsi" w:cstheme="minorHAnsi"/>
          <w:sz w:val="22"/>
          <w:u w:val="single"/>
        </w:rPr>
        <w:t>Náhled signálu:</w:t>
      </w: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noProof/>
          <w:sz w:val="22"/>
          <w:lang w:eastAsia="cs-CZ"/>
        </w:rPr>
        <w:drawing>
          <wp:inline distT="0" distB="0" distL="0" distR="0">
            <wp:extent cx="4320000" cy="2994594"/>
            <wp:effectExtent l="19050" t="0" r="4350" b="0"/>
            <wp:docPr id="40" name="Obrázek 39" descr="Obr48-elmg-indukce-pomaly-pohy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8-elmg-indukce-pomaly-pohyb.gif"/>
                    <pic:cNvPicPr/>
                  </pic:nvPicPr>
                  <pic:blipFill>
                    <a:blip r:embed="rId9" cstate="print"/>
                    <a:stretch>
                      <a:fillRect/>
                    </a:stretch>
                  </pic:blipFill>
                  <pic:spPr>
                    <a:xfrm>
                      <a:off x="0" y="0"/>
                      <a:ext cx="4320000" cy="2994594"/>
                    </a:xfrm>
                    <a:prstGeom prst="rect">
                      <a:avLst/>
                    </a:prstGeom>
                  </pic:spPr>
                </pic:pic>
              </a:graphicData>
            </a:graphic>
          </wp:inline>
        </w:drawing>
      </w: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sz w:val="22"/>
        </w:rPr>
        <w:t>Obr. 48 Velikost indukovaného napětí při pomalé změně magnetického pole</w:t>
      </w:r>
    </w:p>
    <w:p w:rsidR="009941B7" w:rsidRPr="009941B7" w:rsidRDefault="009941B7" w:rsidP="009941B7">
      <w:pPr>
        <w:pStyle w:val="Bntextrga"/>
        <w:jc w:val="center"/>
        <w:rPr>
          <w:rFonts w:asciiTheme="minorHAnsi" w:hAnsiTheme="minorHAnsi" w:cstheme="minorHAnsi"/>
          <w:sz w:val="22"/>
        </w:rPr>
      </w:pP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noProof/>
          <w:sz w:val="22"/>
          <w:lang w:eastAsia="cs-CZ"/>
        </w:rPr>
        <w:drawing>
          <wp:inline distT="0" distB="0" distL="0" distR="0">
            <wp:extent cx="4320000" cy="2994594"/>
            <wp:effectExtent l="19050" t="0" r="4350" b="0"/>
            <wp:docPr id="41" name="Obrázek 40" descr="Obr49-elmg-indukce-rychly-pohy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9-elmg-indukce-rychly-pohyb.gif"/>
                    <pic:cNvPicPr/>
                  </pic:nvPicPr>
                  <pic:blipFill>
                    <a:blip r:embed="rId10" cstate="print"/>
                    <a:stretch>
                      <a:fillRect/>
                    </a:stretch>
                  </pic:blipFill>
                  <pic:spPr>
                    <a:xfrm>
                      <a:off x="0" y="0"/>
                      <a:ext cx="4320000" cy="2994594"/>
                    </a:xfrm>
                    <a:prstGeom prst="rect">
                      <a:avLst/>
                    </a:prstGeom>
                  </pic:spPr>
                </pic:pic>
              </a:graphicData>
            </a:graphic>
          </wp:inline>
        </w:drawing>
      </w:r>
    </w:p>
    <w:p w:rsidR="009941B7" w:rsidRPr="009941B7" w:rsidRDefault="009941B7" w:rsidP="009941B7">
      <w:pPr>
        <w:pStyle w:val="Bntextrga"/>
        <w:jc w:val="center"/>
        <w:rPr>
          <w:rFonts w:asciiTheme="minorHAnsi" w:hAnsiTheme="minorHAnsi" w:cstheme="minorHAnsi"/>
          <w:sz w:val="22"/>
        </w:rPr>
      </w:pPr>
      <w:r w:rsidRPr="009941B7">
        <w:rPr>
          <w:rFonts w:asciiTheme="minorHAnsi" w:hAnsiTheme="minorHAnsi" w:cstheme="minorHAnsi"/>
          <w:sz w:val="22"/>
        </w:rPr>
        <w:t>Obr. 49 Velikost indukovaného napětí při rychlé změně magnetického pole</w:t>
      </w:r>
    </w:p>
    <w:p w:rsidR="009941B7" w:rsidRPr="009941B7" w:rsidRDefault="009941B7" w:rsidP="009941B7">
      <w:pPr>
        <w:pStyle w:val="Bntextrga"/>
        <w:rPr>
          <w:rFonts w:asciiTheme="minorHAnsi" w:hAnsiTheme="minorHAnsi" w:cstheme="minorHAnsi"/>
          <w:sz w:val="22"/>
        </w:rPr>
      </w:pPr>
    </w:p>
    <w:p w:rsidR="009941B7" w:rsidRPr="009941B7" w:rsidRDefault="009941B7" w:rsidP="009941B7">
      <w:pPr>
        <w:pStyle w:val="Bntextrga"/>
        <w:spacing w:line="360" w:lineRule="auto"/>
        <w:jc w:val="both"/>
        <w:rPr>
          <w:rFonts w:asciiTheme="minorHAnsi" w:hAnsiTheme="minorHAnsi" w:cstheme="minorHAnsi"/>
          <w:sz w:val="22"/>
        </w:rPr>
      </w:pPr>
      <w:r w:rsidRPr="009941B7">
        <w:rPr>
          <w:rFonts w:asciiTheme="minorHAnsi" w:hAnsiTheme="minorHAnsi" w:cstheme="minorHAnsi"/>
          <w:sz w:val="22"/>
          <w:u w:val="single"/>
        </w:rPr>
        <w:t>Didaktické poznámky:</w:t>
      </w:r>
      <w:r w:rsidRPr="009941B7">
        <w:rPr>
          <w:rFonts w:asciiTheme="minorHAnsi" w:hAnsiTheme="minorHAnsi" w:cstheme="minorHAnsi"/>
          <w:sz w:val="22"/>
        </w:rPr>
        <w:t xml:space="preserve"> výsledkem pozorování dílčích částí tohoto experimentu lze dojít k obecnému závěru, že elektrické pole se v cívce mikrofonní kapsle indukuje změnou magnetického pole a velikost indukovaného napětí je přímo úměrná rychlosti, s jakou se magnetické pole mění.</w:t>
      </w:r>
    </w:p>
    <w:p w:rsidR="009941B7" w:rsidRPr="009941B7" w:rsidRDefault="009941B7" w:rsidP="009941B7">
      <w:pPr>
        <w:pStyle w:val="Bntextrga"/>
        <w:tabs>
          <w:tab w:val="left" w:pos="851"/>
        </w:tabs>
        <w:spacing w:line="360" w:lineRule="auto"/>
        <w:jc w:val="both"/>
        <w:rPr>
          <w:rFonts w:asciiTheme="minorHAnsi" w:hAnsiTheme="minorHAnsi" w:cstheme="minorHAnsi"/>
          <w:sz w:val="22"/>
        </w:rPr>
      </w:pPr>
      <w:r w:rsidRPr="009941B7">
        <w:rPr>
          <w:rFonts w:asciiTheme="minorHAnsi" w:hAnsiTheme="minorHAnsi" w:cstheme="minorHAnsi"/>
          <w:sz w:val="22"/>
        </w:rPr>
        <w:tab/>
        <w:t>Tyto úvahy jsou pak výchozím předpokladem pro formulaci Faradayova a Lenzova zákona.</w:t>
      </w:r>
    </w:p>
    <w:p w:rsidR="009941B7" w:rsidRPr="009941B7" w:rsidRDefault="009941B7" w:rsidP="009941B7">
      <w:pPr>
        <w:pStyle w:val="Bntextrga"/>
        <w:tabs>
          <w:tab w:val="left" w:pos="851"/>
        </w:tabs>
        <w:spacing w:line="360" w:lineRule="auto"/>
        <w:jc w:val="both"/>
        <w:rPr>
          <w:rFonts w:asciiTheme="minorHAnsi" w:hAnsiTheme="minorHAnsi" w:cstheme="minorHAnsi"/>
          <w:sz w:val="22"/>
        </w:rPr>
      </w:pPr>
      <w:r w:rsidRPr="009941B7">
        <w:rPr>
          <w:rFonts w:asciiTheme="minorHAnsi" w:hAnsiTheme="minorHAnsi" w:cstheme="minorHAnsi"/>
          <w:sz w:val="22"/>
        </w:rPr>
        <w:tab/>
        <w:t>Vzhledem k tomu, že v programu Free Audio Editor nelze nastavit měření napětí, můžeme tento pokus provést pouze kvalitativně, ale i tak je výsledek přesvědčivý. Pokud bychom k záznamu signálu použili program Visual Analyser 2011, můžeme experiment kvantifikovat a měřit konkrétní hodnoty indukovaného napětí.</w:t>
      </w:r>
    </w:p>
    <w:p w:rsidR="009941B7" w:rsidRPr="009941B7" w:rsidRDefault="009941B7" w:rsidP="009941B7">
      <w:pPr>
        <w:pStyle w:val="Bntextrga"/>
        <w:rPr>
          <w:rFonts w:asciiTheme="minorHAnsi" w:hAnsiTheme="minorHAnsi" w:cstheme="minorHAnsi"/>
          <w:sz w:val="22"/>
        </w:rPr>
      </w:pPr>
    </w:p>
    <w:p w:rsidR="009941B7" w:rsidRPr="009941B7" w:rsidRDefault="009941B7" w:rsidP="009941B7">
      <w:pPr>
        <w:pStyle w:val="Bntextrga"/>
        <w:rPr>
          <w:rFonts w:asciiTheme="minorHAnsi" w:hAnsiTheme="minorHAnsi" w:cstheme="minorHAnsi"/>
          <w:b/>
          <w:sz w:val="22"/>
        </w:rPr>
      </w:pPr>
      <w:r w:rsidRPr="009941B7">
        <w:rPr>
          <w:rFonts w:asciiTheme="minorHAnsi" w:hAnsiTheme="minorHAnsi" w:cstheme="minorHAnsi"/>
          <w:b/>
          <w:sz w:val="22"/>
        </w:rPr>
        <w:t>Srovnání se soupravou ISES a klasickou metodou</w:t>
      </w:r>
    </w:p>
    <w:p w:rsidR="009941B7" w:rsidRPr="009941B7" w:rsidRDefault="009941B7" w:rsidP="009941B7">
      <w:pPr>
        <w:pStyle w:val="Bntextrga"/>
        <w:spacing w:line="360" w:lineRule="auto"/>
        <w:ind w:firstLine="851"/>
        <w:jc w:val="both"/>
        <w:rPr>
          <w:rFonts w:asciiTheme="minorHAnsi" w:hAnsiTheme="minorHAnsi" w:cstheme="minorHAnsi"/>
          <w:sz w:val="22"/>
        </w:rPr>
      </w:pPr>
      <w:r w:rsidRPr="009941B7">
        <w:rPr>
          <w:rFonts w:asciiTheme="minorHAnsi" w:hAnsiTheme="minorHAnsi" w:cstheme="minorHAnsi"/>
          <w:sz w:val="22"/>
        </w:rPr>
        <w:t>V soupravě ISES neexistuje žádný modul, pomocí kterého bychom tento jev mohli demonstrovat.</w:t>
      </w:r>
    </w:p>
    <w:p w:rsidR="009941B7" w:rsidRPr="009941B7" w:rsidRDefault="009941B7" w:rsidP="009941B7">
      <w:pPr>
        <w:pStyle w:val="Bntextrga"/>
        <w:tabs>
          <w:tab w:val="left" w:pos="851"/>
        </w:tabs>
        <w:spacing w:line="360" w:lineRule="auto"/>
        <w:jc w:val="both"/>
        <w:rPr>
          <w:rFonts w:asciiTheme="minorHAnsi" w:hAnsiTheme="minorHAnsi" w:cstheme="minorHAnsi"/>
          <w:sz w:val="22"/>
        </w:rPr>
      </w:pPr>
      <w:r w:rsidRPr="009941B7">
        <w:rPr>
          <w:rFonts w:asciiTheme="minorHAnsi" w:hAnsiTheme="minorHAnsi" w:cstheme="minorHAnsi"/>
          <w:sz w:val="22"/>
        </w:rPr>
        <w:tab/>
        <w:t>Ve srovnání s klasickou metodou má naše provedení pouze tu výhodu, že pokud budeme záznam experimentu pouštět na plátno, uvidí dobře jeho provedení i studenti sedící úplně vzadu.</w:t>
      </w:r>
    </w:p>
    <w:p w:rsidR="009941B7" w:rsidRPr="009941B7" w:rsidRDefault="009941B7" w:rsidP="009941B7">
      <w:pPr>
        <w:pStyle w:val="Bntextrga"/>
        <w:spacing w:line="360" w:lineRule="auto"/>
        <w:jc w:val="both"/>
        <w:rPr>
          <w:rFonts w:asciiTheme="minorHAnsi" w:hAnsiTheme="minorHAnsi" w:cstheme="minorHAnsi"/>
          <w:sz w:val="22"/>
        </w:rPr>
      </w:pPr>
    </w:p>
    <w:p w:rsidR="009941B7" w:rsidRPr="009941B7" w:rsidRDefault="009941B7" w:rsidP="009941B7">
      <w:pPr>
        <w:pStyle w:val="Bntextrga"/>
        <w:spacing w:line="360" w:lineRule="auto"/>
        <w:jc w:val="both"/>
        <w:rPr>
          <w:rFonts w:asciiTheme="minorHAnsi" w:hAnsiTheme="minorHAnsi" w:cstheme="minorHAnsi"/>
          <w:b/>
          <w:sz w:val="22"/>
        </w:rPr>
      </w:pPr>
      <w:r w:rsidRPr="009941B7">
        <w:rPr>
          <w:rFonts w:asciiTheme="minorHAnsi" w:hAnsiTheme="minorHAnsi" w:cstheme="minorHAnsi"/>
          <w:b/>
          <w:sz w:val="22"/>
        </w:rPr>
        <w:t>Zařazení experimentu ve výuce</w:t>
      </w:r>
    </w:p>
    <w:p w:rsidR="009941B7" w:rsidRPr="009941B7" w:rsidRDefault="009941B7" w:rsidP="009941B7">
      <w:pPr>
        <w:pStyle w:val="Bntextrga"/>
        <w:spacing w:line="360" w:lineRule="auto"/>
        <w:ind w:firstLine="851"/>
        <w:jc w:val="both"/>
        <w:rPr>
          <w:rFonts w:asciiTheme="minorHAnsi" w:hAnsiTheme="minorHAnsi" w:cstheme="minorHAnsi"/>
          <w:sz w:val="22"/>
        </w:rPr>
      </w:pPr>
      <w:r w:rsidRPr="009941B7">
        <w:rPr>
          <w:rFonts w:asciiTheme="minorHAnsi" w:hAnsiTheme="minorHAnsi" w:cstheme="minorHAnsi"/>
          <w:sz w:val="22"/>
        </w:rPr>
        <w:t>Demonstrační experiment částečně heuristické povahy a částečně uvádějící fyzikální problém. Laboratorní provedení nepokládáme v tomto případě za vhodné.</w:t>
      </w:r>
    </w:p>
    <w:p w:rsidR="009941B7" w:rsidRPr="009941B7" w:rsidRDefault="009941B7" w:rsidP="00D57D4D">
      <w:pPr>
        <w:rPr>
          <w:rFonts w:cstheme="minorHAnsi"/>
        </w:rPr>
      </w:pPr>
    </w:p>
    <w:sectPr w:rsidR="009941B7" w:rsidRPr="009941B7" w:rsidSect="009A6BF2">
      <w:headerReference w:type="default" r:id="rId11"/>
      <w:footerReference w:type="default" r:id="rId12"/>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41" w:rsidRDefault="00725D41" w:rsidP="00DA2DFA">
      <w:pPr>
        <w:spacing w:after="0" w:line="240" w:lineRule="auto"/>
      </w:pPr>
      <w:r>
        <w:separator/>
      </w:r>
    </w:p>
  </w:endnote>
  <w:endnote w:type="continuationSeparator" w:id="0">
    <w:p w:rsidR="00725D41" w:rsidRDefault="00725D41"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E74DAC">
        <w:pPr>
          <w:pStyle w:val="Zpat"/>
          <w:jc w:val="center"/>
        </w:pPr>
        <w:fldSimple w:instr=" PAGE   \* MERGEFORMAT ">
          <w:r w:rsidR="004A5C1F">
            <w:rPr>
              <w:noProof/>
            </w:rPr>
            <w:t>1</w:t>
          </w:r>
        </w:fldSimple>
      </w:p>
    </w:sdtContent>
  </w:sdt>
  <w:p w:rsidR="002C69C2" w:rsidRDefault="002C69C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41" w:rsidRDefault="00725D41" w:rsidP="00DA2DFA">
      <w:pPr>
        <w:spacing w:after="0" w:line="240" w:lineRule="auto"/>
      </w:pPr>
      <w:r>
        <w:separator/>
      </w:r>
    </w:p>
  </w:footnote>
  <w:footnote w:type="continuationSeparator" w:id="0">
    <w:p w:rsidR="00725D41" w:rsidRDefault="00725D41"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3B4A81">
    <w:pPr>
      <w:pStyle w:val="Zhlav"/>
      <w:tabs>
        <w:tab w:val="clear" w:pos="9072"/>
        <w:tab w:val="right" w:pos="9356"/>
      </w:tabs>
      <w:jc w:val="both"/>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r>
    <w:r w:rsidR="003B4A81">
      <w:rPr>
        <w:sz w:val="18"/>
        <w:szCs w:val="18"/>
      </w:rPr>
      <w:t xml:space="preserve">  </w:t>
    </w:r>
    <w:r w:rsidR="00D148B6" w:rsidRPr="002C69C2">
      <w:rPr>
        <w:sz w:val="18"/>
        <w:szCs w:val="18"/>
      </w:rPr>
      <w:t>RNDr. Čeněk Kodejška</w:t>
    </w:r>
  </w:p>
  <w:p w:rsidR="00DA2DFA" w:rsidRPr="002C69C2" w:rsidRDefault="00057943" w:rsidP="00F70CB9">
    <w:pPr>
      <w:pStyle w:val="Zhlav"/>
      <w:jc w:val="both"/>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4D172C" w:rsidRDefault="004D172C" w:rsidP="004A5C1F">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4A5C1F">
      <w:rPr>
        <w:sz w:val="18"/>
        <w:szCs w:val="18"/>
      </w:rPr>
      <w:tab/>
    </w:r>
    <w:hyperlink r:id="rId2" w:history="1">
      <w:r w:rsidR="004A5C1F" w:rsidRPr="00F960E6">
        <w:rPr>
          <w:rStyle w:val="Hypertextovodkaz"/>
          <w:sz w:val="18"/>
          <w:szCs w:val="18"/>
        </w:rPr>
        <w:t>www.sclpx.eu</w:t>
      </w:r>
    </w:hyperlink>
    <w:r w:rsidR="004A5C1F">
      <w:rPr>
        <w:sz w:val="18"/>
        <w:szCs w:val="18"/>
      </w:rPr>
      <w:t xml:space="preserve"> </w:t>
    </w:r>
  </w:p>
  <w:p w:rsidR="00AC4EC2" w:rsidRPr="002C69C2" w:rsidRDefault="00AC4EC2" w:rsidP="004D172C">
    <w:pPr>
      <w:pStyle w:val="Zhlav"/>
      <w:rPr>
        <w:sz w:val="18"/>
        <w:szCs w:val="18"/>
      </w:rPr>
    </w:pPr>
  </w:p>
  <w:p w:rsidR="00D148B6" w:rsidRPr="00BE074F" w:rsidRDefault="004A5C1F" w:rsidP="009941B7">
    <w:pPr>
      <w:pStyle w:val="Zhlav"/>
      <w:jc w:val="center"/>
      <w:rPr>
        <w:sz w:val="18"/>
        <w:szCs w:val="18"/>
      </w:rPr>
    </w:pPr>
    <w:r>
      <w:t>SCLPX – 0</w:t>
    </w:r>
    <w:r w:rsidR="00234F47">
      <w:t>4</w:t>
    </w:r>
    <w:r>
      <w:t xml:space="preserve"> – 3R – </w:t>
    </w:r>
    <w:r w:rsidR="009941B7">
      <w:t>Vznik střídavého proudu a indukovaného napětí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18A"/>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55D"/>
    <w:rsid w:val="00164B2E"/>
    <w:rsid w:val="001663B6"/>
    <w:rsid w:val="00175F87"/>
    <w:rsid w:val="0018386C"/>
    <w:rsid w:val="001943E9"/>
    <w:rsid w:val="00195C5F"/>
    <w:rsid w:val="00197641"/>
    <w:rsid w:val="001A1E49"/>
    <w:rsid w:val="001A535F"/>
    <w:rsid w:val="001A5BCA"/>
    <w:rsid w:val="001B00C4"/>
    <w:rsid w:val="001B0151"/>
    <w:rsid w:val="001B01EF"/>
    <w:rsid w:val="001C00B5"/>
    <w:rsid w:val="001C0EC0"/>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34F47"/>
    <w:rsid w:val="00235808"/>
    <w:rsid w:val="0024027D"/>
    <w:rsid w:val="00241176"/>
    <w:rsid w:val="002418D7"/>
    <w:rsid w:val="002445E6"/>
    <w:rsid w:val="00244817"/>
    <w:rsid w:val="00245F4F"/>
    <w:rsid w:val="00247463"/>
    <w:rsid w:val="00247503"/>
    <w:rsid w:val="0025172B"/>
    <w:rsid w:val="002574AE"/>
    <w:rsid w:val="002577F5"/>
    <w:rsid w:val="00257C54"/>
    <w:rsid w:val="0026251E"/>
    <w:rsid w:val="00264620"/>
    <w:rsid w:val="002667BB"/>
    <w:rsid w:val="00283996"/>
    <w:rsid w:val="00284AC9"/>
    <w:rsid w:val="0028632F"/>
    <w:rsid w:val="0029019B"/>
    <w:rsid w:val="00295D64"/>
    <w:rsid w:val="0029711C"/>
    <w:rsid w:val="002A52DB"/>
    <w:rsid w:val="002B0D24"/>
    <w:rsid w:val="002B411B"/>
    <w:rsid w:val="002B71AF"/>
    <w:rsid w:val="002B74F1"/>
    <w:rsid w:val="002C0E13"/>
    <w:rsid w:val="002C4A0E"/>
    <w:rsid w:val="002C4E36"/>
    <w:rsid w:val="002C69C2"/>
    <w:rsid w:val="002C7994"/>
    <w:rsid w:val="002D54DE"/>
    <w:rsid w:val="002D5F10"/>
    <w:rsid w:val="002E6091"/>
    <w:rsid w:val="002E7D81"/>
    <w:rsid w:val="002F0DB9"/>
    <w:rsid w:val="002F2535"/>
    <w:rsid w:val="002F4F09"/>
    <w:rsid w:val="00301EBB"/>
    <w:rsid w:val="003042E5"/>
    <w:rsid w:val="003069D9"/>
    <w:rsid w:val="00312FFA"/>
    <w:rsid w:val="003200D1"/>
    <w:rsid w:val="00324CEB"/>
    <w:rsid w:val="00330A75"/>
    <w:rsid w:val="00331CDB"/>
    <w:rsid w:val="00336D0C"/>
    <w:rsid w:val="0034056A"/>
    <w:rsid w:val="00341BD5"/>
    <w:rsid w:val="00344A09"/>
    <w:rsid w:val="00345D44"/>
    <w:rsid w:val="00345EEF"/>
    <w:rsid w:val="00351230"/>
    <w:rsid w:val="00352352"/>
    <w:rsid w:val="00353F0C"/>
    <w:rsid w:val="00353FD8"/>
    <w:rsid w:val="00357739"/>
    <w:rsid w:val="003622B0"/>
    <w:rsid w:val="003630C2"/>
    <w:rsid w:val="00364996"/>
    <w:rsid w:val="00364BE3"/>
    <w:rsid w:val="00366439"/>
    <w:rsid w:val="003730FC"/>
    <w:rsid w:val="00375B49"/>
    <w:rsid w:val="003763F3"/>
    <w:rsid w:val="00376EFD"/>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4A81"/>
    <w:rsid w:val="003B660A"/>
    <w:rsid w:val="003C54A3"/>
    <w:rsid w:val="003C70FF"/>
    <w:rsid w:val="003D028D"/>
    <w:rsid w:val="003D2F93"/>
    <w:rsid w:val="003D3AA2"/>
    <w:rsid w:val="003D3D86"/>
    <w:rsid w:val="003E0314"/>
    <w:rsid w:val="003E1ED6"/>
    <w:rsid w:val="003E6991"/>
    <w:rsid w:val="003E6E55"/>
    <w:rsid w:val="003F3F46"/>
    <w:rsid w:val="003F6652"/>
    <w:rsid w:val="004051A2"/>
    <w:rsid w:val="00405563"/>
    <w:rsid w:val="00406428"/>
    <w:rsid w:val="00411762"/>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3D4"/>
    <w:rsid w:val="004A5827"/>
    <w:rsid w:val="004A5C1F"/>
    <w:rsid w:val="004A7F1E"/>
    <w:rsid w:val="004B1B44"/>
    <w:rsid w:val="004B210B"/>
    <w:rsid w:val="004B2903"/>
    <w:rsid w:val="004B3C1F"/>
    <w:rsid w:val="004B3E3D"/>
    <w:rsid w:val="004B53AA"/>
    <w:rsid w:val="004B6538"/>
    <w:rsid w:val="004C5AE8"/>
    <w:rsid w:val="004D172C"/>
    <w:rsid w:val="004E0F2A"/>
    <w:rsid w:val="004E5289"/>
    <w:rsid w:val="005056CE"/>
    <w:rsid w:val="00507C44"/>
    <w:rsid w:val="00512B87"/>
    <w:rsid w:val="00512DBE"/>
    <w:rsid w:val="005134AD"/>
    <w:rsid w:val="0052682C"/>
    <w:rsid w:val="00526C69"/>
    <w:rsid w:val="00530997"/>
    <w:rsid w:val="005323D1"/>
    <w:rsid w:val="0053660E"/>
    <w:rsid w:val="00540592"/>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44"/>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674"/>
    <w:rsid w:val="006657B0"/>
    <w:rsid w:val="00676A96"/>
    <w:rsid w:val="00684D45"/>
    <w:rsid w:val="00687088"/>
    <w:rsid w:val="00690AA9"/>
    <w:rsid w:val="00690D5F"/>
    <w:rsid w:val="0069139B"/>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15E72"/>
    <w:rsid w:val="00717076"/>
    <w:rsid w:val="00721C6A"/>
    <w:rsid w:val="00723EF2"/>
    <w:rsid w:val="00724C82"/>
    <w:rsid w:val="00725D41"/>
    <w:rsid w:val="00726E6A"/>
    <w:rsid w:val="007353AC"/>
    <w:rsid w:val="00740B6A"/>
    <w:rsid w:val="0074701C"/>
    <w:rsid w:val="0074721D"/>
    <w:rsid w:val="007477CA"/>
    <w:rsid w:val="007531D9"/>
    <w:rsid w:val="007544E0"/>
    <w:rsid w:val="00766444"/>
    <w:rsid w:val="00771E80"/>
    <w:rsid w:val="007746B6"/>
    <w:rsid w:val="00782ED4"/>
    <w:rsid w:val="00784381"/>
    <w:rsid w:val="007845D5"/>
    <w:rsid w:val="00785D6D"/>
    <w:rsid w:val="007A2291"/>
    <w:rsid w:val="007A3A04"/>
    <w:rsid w:val="007A476E"/>
    <w:rsid w:val="007A7091"/>
    <w:rsid w:val="007A70AC"/>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33FCF"/>
    <w:rsid w:val="008406F1"/>
    <w:rsid w:val="008436A2"/>
    <w:rsid w:val="00845A8B"/>
    <w:rsid w:val="00847667"/>
    <w:rsid w:val="00852FB7"/>
    <w:rsid w:val="0085363F"/>
    <w:rsid w:val="0085569A"/>
    <w:rsid w:val="0085634B"/>
    <w:rsid w:val="00862EE2"/>
    <w:rsid w:val="00875390"/>
    <w:rsid w:val="0088295D"/>
    <w:rsid w:val="00884EAF"/>
    <w:rsid w:val="00886149"/>
    <w:rsid w:val="00891C6A"/>
    <w:rsid w:val="00893323"/>
    <w:rsid w:val="008A4263"/>
    <w:rsid w:val="008A61E8"/>
    <w:rsid w:val="008A6D4B"/>
    <w:rsid w:val="008B18B7"/>
    <w:rsid w:val="008B1AAB"/>
    <w:rsid w:val="008B215E"/>
    <w:rsid w:val="008B7AA8"/>
    <w:rsid w:val="008C04A2"/>
    <w:rsid w:val="008D0165"/>
    <w:rsid w:val="008D1B11"/>
    <w:rsid w:val="008D45AE"/>
    <w:rsid w:val="008D5446"/>
    <w:rsid w:val="008D5E6E"/>
    <w:rsid w:val="008D6D5C"/>
    <w:rsid w:val="008E67AB"/>
    <w:rsid w:val="008E6AA3"/>
    <w:rsid w:val="008F0139"/>
    <w:rsid w:val="008F1D5D"/>
    <w:rsid w:val="008F3EA9"/>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1B7"/>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4287"/>
    <w:rsid w:val="00A875FA"/>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D3FFD"/>
    <w:rsid w:val="00AD6D97"/>
    <w:rsid w:val="00AD7E6F"/>
    <w:rsid w:val="00AE0EB2"/>
    <w:rsid w:val="00AE384F"/>
    <w:rsid w:val="00AE4668"/>
    <w:rsid w:val="00AE638E"/>
    <w:rsid w:val="00AE704A"/>
    <w:rsid w:val="00AF4555"/>
    <w:rsid w:val="00B030DE"/>
    <w:rsid w:val="00B03CE1"/>
    <w:rsid w:val="00B04DA3"/>
    <w:rsid w:val="00B04F91"/>
    <w:rsid w:val="00B1771F"/>
    <w:rsid w:val="00B209F4"/>
    <w:rsid w:val="00B21F9C"/>
    <w:rsid w:val="00B2454F"/>
    <w:rsid w:val="00B26E70"/>
    <w:rsid w:val="00B27784"/>
    <w:rsid w:val="00B27DEA"/>
    <w:rsid w:val="00B314A7"/>
    <w:rsid w:val="00B45373"/>
    <w:rsid w:val="00B6743A"/>
    <w:rsid w:val="00B7215E"/>
    <w:rsid w:val="00B74986"/>
    <w:rsid w:val="00B83272"/>
    <w:rsid w:val="00B91FEA"/>
    <w:rsid w:val="00B926E0"/>
    <w:rsid w:val="00B9430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3EE"/>
    <w:rsid w:val="00D47CAD"/>
    <w:rsid w:val="00D51760"/>
    <w:rsid w:val="00D5276D"/>
    <w:rsid w:val="00D527C8"/>
    <w:rsid w:val="00D57D4D"/>
    <w:rsid w:val="00D61B68"/>
    <w:rsid w:val="00D64253"/>
    <w:rsid w:val="00D665EF"/>
    <w:rsid w:val="00D6706D"/>
    <w:rsid w:val="00D70771"/>
    <w:rsid w:val="00D71A08"/>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3A51"/>
    <w:rsid w:val="00E04905"/>
    <w:rsid w:val="00E066DB"/>
    <w:rsid w:val="00E06FF2"/>
    <w:rsid w:val="00E1076E"/>
    <w:rsid w:val="00E10FAF"/>
    <w:rsid w:val="00E11FCD"/>
    <w:rsid w:val="00E25163"/>
    <w:rsid w:val="00E31C06"/>
    <w:rsid w:val="00E41096"/>
    <w:rsid w:val="00E51064"/>
    <w:rsid w:val="00E512CA"/>
    <w:rsid w:val="00E52703"/>
    <w:rsid w:val="00E74302"/>
    <w:rsid w:val="00E74DAC"/>
    <w:rsid w:val="00E81A1B"/>
    <w:rsid w:val="00E83ECC"/>
    <w:rsid w:val="00E873A8"/>
    <w:rsid w:val="00E92D59"/>
    <w:rsid w:val="00E92FA3"/>
    <w:rsid w:val="00E94FE9"/>
    <w:rsid w:val="00E9689D"/>
    <w:rsid w:val="00E96BA3"/>
    <w:rsid w:val="00EA2071"/>
    <w:rsid w:val="00EA2DAB"/>
    <w:rsid w:val="00EA724C"/>
    <w:rsid w:val="00EB08BC"/>
    <w:rsid w:val="00EB1065"/>
    <w:rsid w:val="00EB16E7"/>
    <w:rsid w:val="00EB28D1"/>
    <w:rsid w:val="00EB2A20"/>
    <w:rsid w:val="00EB7620"/>
    <w:rsid w:val="00EC3519"/>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5082"/>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70CB9"/>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22C"/>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118A"/>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 w:type="paragraph" w:customStyle="1" w:styleId="Podkapitola">
    <w:name w:val="Podkapitola"/>
    <w:basedOn w:val="Normln"/>
    <w:next w:val="Normln"/>
    <w:link w:val="PodkapitolaChar"/>
    <w:autoRedefine/>
    <w:qFormat/>
    <w:rsid w:val="002445E6"/>
    <w:pPr>
      <w:keepNext/>
      <w:keepLines/>
      <w:spacing w:after="0"/>
      <w:ind w:left="851"/>
      <w:jc w:val="center"/>
      <w:outlineLvl w:val="0"/>
    </w:pPr>
    <w:rPr>
      <w:rFonts w:ascii="Calibri" w:eastAsiaTheme="majorEastAsia" w:hAnsi="Calibri" w:cstheme="majorBidi"/>
      <w:bCs/>
    </w:rPr>
  </w:style>
  <w:style w:type="character" w:customStyle="1" w:styleId="PodkapitolaChar">
    <w:name w:val="Podkapitola Char"/>
    <w:basedOn w:val="Standardnpsmoodstavce"/>
    <w:link w:val="Podkapitola"/>
    <w:rsid w:val="002445E6"/>
    <w:rPr>
      <w:rFonts w:ascii="Calibri" w:eastAsiaTheme="majorEastAsia" w:hAnsi="Calibri" w:cstheme="majorBidi"/>
      <w:bCs/>
    </w:rPr>
  </w:style>
</w:styles>
</file>

<file path=word/webSettings.xml><?xml version="1.0" encoding="utf-8"?>
<w:webSettings xmlns:r="http://schemas.openxmlformats.org/officeDocument/2006/relationships" xmlns:w="http://schemas.openxmlformats.org/wordprocessingml/2006/main">
  <w:divs>
    <w:div w:id="9651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310</Words>
  <Characters>1835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2</cp:revision>
  <dcterms:created xsi:type="dcterms:W3CDTF">2013-03-13T14:48:00Z</dcterms:created>
  <dcterms:modified xsi:type="dcterms:W3CDTF">2013-03-13T14:48:00Z</dcterms:modified>
</cp:coreProperties>
</file>