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34" w:rsidRDefault="00DB7934" w:rsidP="00FC4D2A">
      <w:pPr>
        <w:pStyle w:val="Podkapitola"/>
        <w:rPr>
          <w:rFonts w:eastAsiaTheme="minorEastAsia"/>
        </w:rPr>
      </w:pPr>
      <w:bookmarkStart w:id="0" w:name="_Toc429589067"/>
      <w:r>
        <w:rPr>
          <w:rFonts w:eastAsiaTheme="minorEastAsia"/>
        </w:rPr>
        <w:t>Měření povrchového napětí kapaliny metodou maximální kapky</w:t>
      </w:r>
      <w:bookmarkEnd w:id="0"/>
    </w:p>
    <w:p w:rsidR="00DB7934" w:rsidRDefault="00DB7934" w:rsidP="00DB7934">
      <w:pPr>
        <w:pStyle w:val="Bntextrga"/>
        <w:tabs>
          <w:tab w:val="left" w:pos="709"/>
        </w:tabs>
        <w:spacing w:line="360" w:lineRule="auto"/>
      </w:pPr>
      <w:r>
        <w:br/>
      </w:r>
      <w:r w:rsidRPr="001619D3">
        <w:rPr>
          <w:rFonts w:cs="Times New Roman"/>
        </w:rPr>
        <w:t>Online:</w:t>
      </w:r>
      <w:r>
        <w:rPr>
          <w:rFonts w:cs="Times New Roman"/>
        </w:rPr>
        <w:t xml:space="preserve"> </w:t>
      </w:r>
      <w:hyperlink r:id="rId5" w:history="1">
        <w:r w:rsidRPr="007E5A22">
          <w:rPr>
            <w:rStyle w:val="Hypertextovodkaz"/>
            <w:rFonts w:cs="Times New Roman"/>
          </w:rPr>
          <w:t>http://www.sclpx.eu/lab2R.php?exp=3</w:t>
        </w:r>
      </w:hyperlink>
      <w:r>
        <w:rPr>
          <w:rFonts w:cs="Times New Roman"/>
        </w:rPr>
        <w:t xml:space="preserve">  </w:t>
      </w:r>
    </w:p>
    <w:p w:rsidR="00DB7934" w:rsidRDefault="00DB7934" w:rsidP="00DB7934">
      <w:pPr>
        <w:pStyle w:val="Bntextrga"/>
        <w:tabs>
          <w:tab w:val="left" w:pos="709"/>
        </w:tabs>
        <w:spacing w:line="360" w:lineRule="auto"/>
        <w:jc w:val="both"/>
      </w:pPr>
      <w:r>
        <w:tab/>
        <w:t>Tento experiment byl publikován autorem práce v </w:t>
      </w:r>
      <w:r w:rsidRPr="00DB7934">
        <w:t>[33]</w:t>
      </w:r>
      <w:r>
        <w:t xml:space="preserve"> a jedná se o zcela původní metodu pro experimentální určení povrchového napětí kapaliny, která využívá té vlastnosti kapaliny, že její kapky nemohou dosáhnout neomezené velikosti. </w:t>
      </w:r>
      <w:r w:rsidRPr="00FD38BB">
        <w:t>Při d</w:t>
      </w:r>
      <w:r>
        <w:t>louhodobém zkoumání tvorby</w:t>
      </w:r>
      <w:r w:rsidRPr="00FD38BB">
        <w:t xml:space="preserve"> kapky</w:t>
      </w:r>
      <w:r>
        <w:t xml:space="preserve"> kapaliny</w:t>
      </w:r>
      <w:r w:rsidRPr="00FD38BB">
        <w:t xml:space="preserve"> z různých kapilár o různých průměrech</w:t>
      </w:r>
      <w:r>
        <w:t xml:space="preserve"> jsme na základě pozorování a </w:t>
      </w:r>
      <w:r w:rsidRPr="00FD38BB">
        <w:t xml:space="preserve">provedených měření dospěli k závěru, že existuje určitý limitní případ pro velikost vytvářené kapky, ze kterého lze pak určit hodnotu povrchového napětí. Tuto zcela novou metodu jsme nazvali </w:t>
      </w:r>
      <w:r w:rsidRPr="00FD38BB">
        <w:rPr>
          <w:i/>
        </w:rPr>
        <w:t>metodou největší kapky</w:t>
      </w:r>
      <w:r w:rsidRPr="00FD38BB">
        <w:t>.</w:t>
      </w:r>
    </w:p>
    <w:p w:rsidR="00DB7934" w:rsidRDefault="00DB7934" w:rsidP="00DB7934">
      <w:pPr>
        <w:pStyle w:val="Bntextrga"/>
        <w:tabs>
          <w:tab w:val="left" w:pos="709"/>
        </w:tabs>
        <w:spacing w:line="360" w:lineRule="auto"/>
        <w:jc w:val="both"/>
      </w:pPr>
      <w:r>
        <w:tab/>
        <w:t xml:space="preserve">Různým experimentům s povrchovým napětím kapalin jsme věnovali několik měsíců práce, přesto však úspěchem skončila jen tato metoda. Ostatní neúspěšné pokusy jsou popsány v kapitole 7. Inspirací nám byly i staré učebnice fyziky jako např. </w:t>
      </w:r>
      <w:r w:rsidRPr="00DB7934">
        <w:t xml:space="preserve">[79], [112], </w:t>
      </w:r>
      <w:r w:rsidRPr="00DB7934">
        <w:br/>
        <w:t xml:space="preserve">[122-124], </w:t>
      </w:r>
      <w:r>
        <w:t>ve kterých jsou po</w:t>
      </w:r>
      <w:r w:rsidRPr="00BD5A3D">
        <w:t>p</w:t>
      </w:r>
      <w:r>
        <w:t>s</w:t>
      </w:r>
      <w:r w:rsidRPr="00BD5A3D">
        <w:t>ány zajímavé dynamické metody</w:t>
      </w:r>
      <w:r>
        <w:t xml:space="preserve"> měření povrchového napětí kapalin. </w:t>
      </w:r>
    </w:p>
    <w:p w:rsidR="00DB7934" w:rsidRDefault="00DB7934" w:rsidP="00DB7934">
      <w:pPr>
        <w:pStyle w:val="Bntextrga"/>
        <w:tabs>
          <w:tab w:val="left" w:pos="709"/>
        </w:tabs>
        <w:spacing w:line="360" w:lineRule="auto"/>
        <w:jc w:val="both"/>
      </w:pPr>
      <w:r>
        <w:tab/>
        <w:t xml:space="preserve">Na rozdíl od výsledků publikovaných v </w:t>
      </w:r>
      <w:r w:rsidRPr="00DB7934">
        <w:t>[33]</w:t>
      </w:r>
      <w:r>
        <w:t xml:space="preserve">, které nevedly k příliš uspokojivým výsledkům s využitím monogatu, jsme tuto metodu zdokonalili použitím stereogatu, viz kapitola </w:t>
      </w:r>
      <w:r w:rsidRPr="004B42D3">
        <w:t>6.</w:t>
      </w:r>
      <w:r>
        <w:t>6. Jedná se o dva solární články zapojené do série</w:t>
      </w:r>
      <w:r w:rsidRPr="00444749">
        <w:t xml:space="preserve"> tak, že</w:t>
      </w:r>
      <w:r>
        <w:t xml:space="preserve"> kladný pól jednoho článku je spojený se vstupem L stereo jacku (bílý vodič), kladný pól druhé článku je propojen na vstup R stereo jacku (červený vodič) a oba záporné póly jsou spojeny s uzemněním jacku (stínění stereo kabelu). Situace je zobrazena na obrázku </w:t>
      </w:r>
      <w:r w:rsidRPr="009A67D8">
        <w:t>6.6.1.</w:t>
      </w:r>
      <w:r>
        <w:t xml:space="preserve"> a na obrázku </w:t>
      </w:r>
      <w:r w:rsidRPr="009A67D8">
        <w:t>6.6.2.</w:t>
      </w:r>
    </w:p>
    <w:p w:rsidR="00DB7934" w:rsidRDefault="00DB7934" w:rsidP="00DB7934">
      <w:pPr>
        <w:pStyle w:val="Bntextrga"/>
        <w:tabs>
          <w:tab w:val="left" w:pos="709"/>
        </w:tabs>
        <w:spacing w:line="360" w:lineRule="auto"/>
        <w:jc w:val="both"/>
      </w:pPr>
      <w:r>
        <w:tab/>
        <w:t>Pomocí stereogatu může s mnohem větší přesností určit rychlost padající kapky, pomocí které pak určujeme výšku kapky. Tato zdokonalená metoda již vedla k uspokojivým výsledkům hodnot povrchového napětí vody i lihu.</w:t>
      </w:r>
    </w:p>
    <w:p w:rsidR="00DB7934" w:rsidRPr="006C3475" w:rsidRDefault="00DB7934" w:rsidP="00DB7934">
      <w:pPr>
        <w:pStyle w:val="Bntextrga"/>
        <w:tabs>
          <w:tab w:val="left" w:pos="709"/>
        </w:tabs>
        <w:spacing w:line="360" w:lineRule="auto"/>
        <w:jc w:val="both"/>
        <w:rPr>
          <w:b/>
        </w:rPr>
      </w:pPr>
      <w:r w:rsidRPr="006C3475">
        <w:rPr>
          <w:b/>
        </w:rPr>
        <w:t>Úvod</w:t>
      </w:r>
    </w:p>
    <w:p w:rsidR="00DB7934" w:rsidRPr="006C3475" w:rsidRDefault="00DB7934" w:rsidP="00DB7934">
      <w:pPr>
        <w:pStyle w:val="Bntextrga"/>
        <w:tabs>
          <w:tab w:val="left" w:pos="709"/>
        </w:tabs>
        <w:spacing w:line="360" w:lineRule="auto"/>
        <w:jc w:val="both"/>
      </w:pPr>
      <w:r w:rsidRPr="006C3475">
        <w:t xml:space="preserve">Teoretické odvození výsledného vztahu pro velikost povrchového napětí lze učinit na základě následující úvahy. Na </w:t>
      </w:r>
      <w:r>
        <w:t>detailu obrázku 2.3.1 v pravém horním rohu</w:t>
      </w:r>
      <w:r w:rsidRPr="006C3475">
        <w:t xml:space="preserve"> lze dobře pozorovat</w:t>
      </w:r>
      <w:r>
        <w:t xml:space="preserve"> to</w:t>
      </w:r>
      <w:r w:rsidRPr="006C3475">
        <w:t xml:space="preserve">, že u tenkostěnné kapiláry je průměr kapky téměř identický s průměrem kapiláry. Ve vznikající kapce narůstá hydrostatický tlak, který je dán vztahem </w:t>
      </w:r>
      <m:oMath>
        <m:sSub>
          <m:sSubPr>
            <m:ctrlPr>
              <w:rPr>
                <w:rFonts w:ascii="Cambria Math" w:hAnsi="Cambria Math"/>
                <w:i/>
              </w:rPr>
            </m:ctrlPr>
          </m:sSubPr>
          <m:e>
            <m:r>
              <w:rPr>
                <w:rFonts w:ascii="Cambria Math" w:hAnsi="Cambria Math"/>
              </w:rPr>
              <m:t>p</m:t>
            </m:r>
          </m:e>
          <m:sub>
            <m:r>
              <w:rPr>
                <w:rFonts w:ascii="Cambria Math" w:hAnsi="Cambria Math"/>
              </w:rPr>
              <m:t>h</m:t>
            </m:r>
          </m:sub>
        </m:sSub>
        <m:r>
          <w:rPr>
            <w:rFonts w:ascii="Cambria Math" w:hAnsi="Cambria Math"/>
          </w:rPr>
          <m:t>=Hρg</m:t>
        </m:r>
      </m:oMath>
      <w:r w:rsidRPr="006C3475">
        <w:t xml:space="preserve">, kde </w:t>
      </w:r>
      <w:r w:rsidRPr="006C3475">
        <w:rPr>
          <w:i/>
        </w:rPr>
        <w:t>H</w:t>
      </w:r>
      <w:r w:rsidRPr="006C3475">
        <w:t xml:space="preserve"> je výška kapky, tedy její průměr. K odtržení kapky dojde v okamžiku, kdy je hodnota hydrostatického tlaku uvnitř kapky rovna kapilárnímu tlaku</w:t>
      </w:r>
      <w:r>
        <w:t xml:space="preserve"> </w:t>
      </w:r>
      <m:oMath>
        <m:sSub>
          <m:sSubPr>
            <m:ctrlPr>
              <w:rPr>
                <w:rFonts w:ascii="Cambria Math" w:hAnsi="Cambria Math"/>
                <w:i/>
              </w:rPr>
            </m:ctrlPr>
          </m:sSubPr>
          <m:e>
            <m:r>
              <w:rPr>
                <w:rFonts w:ascii="Cambria Math" w:hAnsi="Cambria Math"/>
              </w:rPr>
              <m:t>p</m:t>
            </m:r>
          </m:e>
          <m:sub>
            <m:r>
              <w:rPr>
                <w:rFonts w:ascii="Cambria Math" w:hAnsi="Cambria Math"/>
              </w:rPr>
              <m:t>k</m:t>
            </m:r>
          </m:sub>
        </m:sSub>
      </m:oMath>
      <w:r w:rsidRPr="006C3475">
        <w:t xml:space="preserve">, který má pro kulový tvar kapky o poloměru </w:t>
      </w:r>
      <w:r w:rsidRPr="006C3475">
        <w:rPr>
          <w:i/>
        </w:rPr>
        <w:t>R</w:t>
      </w:r>
      <w:r w:rsidRPr="006C3475">
        <w:t xml:space="preserve"> hodnotu</w:t>
      </w:r>
      <w:r>
        <w:t xml:space="preserve"> </w:t>
      </w:r>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2σ</m:t>
            </m:r>
          </m:num>
          <m:den>
            <m:r>
              <w:rPr>
                <w:rFonts w:ascii="Cambria Math" w:hAnsi="Cambria Math"/>
              </w:rPr>
              <m:t>R</m:t>
            </m:r>
          </m:den>
        </m:f>
      </m:oMath>
      <w:r>
        <w:rPr>
          <w:rFonts w:eastAsiaTheme="minorEastAsia"/>
        </w:rPr>
        <w:t>. Rovnost tlaků popisuje rovnice (2.3.1):</w:t>
      </w:r>
      <w:r w:rsidRPr="006C3475">
        <w:t xml:space="preserve"> </w:t>
      </w:r>
    </w:p>
    <w:p w:rsidR="00DB7934" w:rsidRPr="009F124D" w:rsidRDefault="00DB7934" w:rsidP="00DB7934">
      <w:pPr>
        <w:pStyle w:val="Bntextrga"/>
        <w:tabs>
          <w:tab w:val="left" w:pos="709"/>
        </w:tabs>
        <w:spacing w:line="360" w:lineRule="auto"/>
        <w:jc w:val="right"/>
      </w:pPr>
      <m:oMathPara>
        <m:oMathParaPr>
          <m:jc m:val="right"/>
        </m:oMathParaPr>
        <m:oMath>
          <m:r>
            <w:rPr>
              <w:rFonts w:ascii="Cambria Math" w:hAnsi="Cambria Math"/>
            </w:rPr>
            <w:lastRenderedPageBreak/>
            <m:t>Hρg=</m:t>
          </m:r>
          <m:f>
            <m:fPr>
              <m:ctrlPr>
                <w:rPr>
                  <w:rFonts w:ascii="Cambria Math" w:hAnsi="Cambria Math"/>
                  <w:i/>
                </w:rPr>
              </m:ctrlPr>
            </m:fPr>
            <m:num>
              <m:r>
                <w:rPr>
                  <w:rFonts w:ascii="Cambria Math" w:hAnsi="Cambria Math"/>
                </w:rPr>
                <m:t>2σ</m:t>
              </m:r>
            </m:num>
            <m:den>
              <m:r>
                <w:rPr>
                  <w:rFonts w:ascii="Cambria Math" w:hAnsi="Cambria Math"/>
                </w:rPr>
                <m:t>R</m:t>
              </m:r>
            </m:den>
          </m:f>
          <m:r>
            <w:rPr>
              <w:rFonts w:ascii="Cambria Math" w:eastAsiaTheme="minorEastAsia" w:hAnsi="Cambria Math"/>
            </w:rPr>
            <m:t xml:space="preserve">                                                                (2.3.1)</m:t>
          </m:r>
        </m:oMath>
      </m:oMathPara>
    </w:p>
    <w:p w:rsidR="00DB7934" w:rsidRPr="006C3475" w:rsidRDefault="00DB7934" w:rsidP="00DB7934">
      <w:pPr>
        <w:pStyle w:val="Bntextrga"/>
        <w:tabs>
          <w:tab w:val="left" w:pos="709"/>
        </w:tabs>
        <w:spacing w:line="360" w:lineRule="auto"/>
      </w:pPr>
      <w:r w:rsidRPr="006C3475">
        <w:t xml:space="preserve">Platí-li současně v ideálním případě, že </w:t>
      </w:r>
      <m:oMath>
        <m:r>
          <w:rPr>
            <w:rFonts w:ascii="Cambria Math" w:hAnsi="Cambria Math"/>
          </w:rPr>
          <m:t>H=2R</m:t>
        </m:r>
      </m:oMath>
      <w:r w:rsidRPr="006C3475">
        <w:t xml:space="preserve">, získáme po úpravě vztah pro povrchové napětí </w:t>
      </w:r>
      <m:oMath>
        <m:r>
          <w:rPr>
            <w:rFonts w:ascii="Cambria Math" w:hAnsi="Cambria Math"/>
          </w:rPr>
          <m:t>σ</m:t>
        </m:r>
      </m:oMath>
      <w:r>
        <w:t xml:space="preserve"> (2.3.2):</w:t>
      </w:r>
      <w:r w:rsidRPr="006C3475">
        <w:t xml:space="preserve"> </w:t>
      </w:r>
    </w:p>
    <w:p w:rsidR="00DB7934" w:rsidRPr="009F124D" w:rsidRDefault="00DB7934" w:rsidP="00DB7934">
      <w:pPr>
        <w:pStyle w:val="Bntextrga"/>
        <w:tabs>
          <w:tab w:val="left" w:pos="709"/>
        </w:tabs>
        <w:spacing w:line="360" w:lineRule="auto"/>
        <w:jc w:val="right"/>
      </w:pPr>
      <m:oMathPara>
        <m:oMathParaPr>
          <m:jc m:val="right"/>
        </m:oMathParaPr>
        <m:oMath>
          <m:r>
            <w:rPr>
              <w:rFonts w:ascii="Cambria Math" w:hAnsi="Cambria Math"/>
            </w:rPr>
            <m:t>σ=</m:t>
          </m:r>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ρg</m:t>
              </m:r>
            </m:num>
            <m:den>
              <m:r>
                <w:rPr>
                  <w:rFonts w:ascii="Cambria Math" w:hAnsi="Cambria Math"/>
                </w:rPr>
                <m:t>4</m:t>
              </m:r>
            </m:den>
          </m:f>
          <m:r>
            <w:rPr>
              <w:rFonts w:ascii="Cambria Math" w:hAnsi="Cambria Math"/>
            </w:rPr>
            <m:t>,                                                                (2.3.2)</m:t>
          </m:r>
        </m:oMath>
      </m:oMathPara>
    </w:p>
    <w:p w:rsidR="00DB7934" w:rsidRDefault="00DB7934" w:rsidP="00DB7934">
      <w:pPr>
        <w:pStyle w:val="Bntextrga"/>
        <w:tabs>
          <w:tab w:val="left" w:pos="709"/>
        </w:tabs>
        <w:spacing w:line="360" w:lineRule="auto"/>
      </w:pPr>
      <w:r w:rsidRPr="006C3475">
        <w:t xml:space="preserve">kde </w:t>
      </w:r>
      <w:r w:rsidRPr="006C3475">
        <w:rPr>
          <w:i/>
        </w:rPr>
        <w:t>H</w:t>
      </w:r>
      <w:r w:rsidRPr="006C3475">
        <w:t xml:space="preserve"> je výška kapky, </w:t>
      </w:r>
      <m:oMath>
        <m:r>
          <w:rPr>
            <w:rFonts w:ascii="Cambria Math" w:hAnsi="Cambria Math"/>
          </w:rPr>
          <m:t>ρ</m:t>
        </m:r>
      </m:oMath>
      <w:r w:rsidRPr="006C3475">
        <w:t xml:space="preserve"> je hustota kapaliny a </w:t>
      </w:r>
      <w:r w:rsidRPr="006C3475">
        <w:rPr>
          <w:i/>
        </w:rPr>
        <w:t xml:space="preserve">g </w:t>
      </w:r>
      <w:r>
        <w:t xml:space="preserve">= 9,81 </w:t>
      </w:r>
      <m:oMath>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oMath>
      <w:r>
        <w:rPr>
          <w:rFonts w:eastAsiaTheme="minorEastAsia"/>
        </w:rPr>
        <w:t xml:space="preserve"> </w:t>
      </w:r>
      <w:r w:rsidRPr="006C3475">
        <w:t>je hodnota tíhového zrychlení.</w:t>
      </w:r>
      <w:r>
        <w:t xml:space="preserve"> Ke stejnému vztahu dospěl na základě jiných úvah i Strouhal </w:t>
      </w:r>
      <w:r w:rsidRPr="00DB7934">
        <w:t xml:space="preserve">[79, s. 736]. </w:t>
      </w:r>
    </w:p>
    <w:p w:rsidR="00DB7934" w:rsidRPr="006C3475" w:rsidRDefault="00DB7934" w:rsidP="00DB7934">
      <w:pPr>
        <w:pStyle w:val="Bntextrga"/>
        <w:tabs>
          <w:tab w:val="left" w:pos="709"/>
        </w:tabs>
        <w:spacing w:line="360" w:lineRule="auto"/>
        <w:jc w:val="both"/>
      </w:pPr>
      <w:r>
        <w:tab/>
      </w:r>
      <w:r w:rsidRPr="006C3475">
        <w:t>Experimentálním pozorováním jsme zjistili, že nelze vytvořit kapku o neomezené velikosti. Při dosažení určité velikosti kapky se s dále rostoucím vnitřním průměrem kapiláry už tato</w:t>
      </w:r>
      <w:r>
        <w:t xml:space="preserve"> velikost neměnila. Ze vztahu (2.3.2</w:t>
      </w:r>
      <w:r w:rsidRPr="006C3475">
        <w:t>) lze např. u vody zpětně vyvodit maximální rozměr takové kapky jako koule o průměru 5,4 mm.</w:t>
      </w:r>
    </w:p>
    <w:p w:rsidR="00DB7934" w:rsidRDefault="00DB7934" w:rsidP="00DB7934">
      <w:pPr>
        <w:pStyle w:val="Bntextrga"/>
        <w:spacing w:line="360" w:lineRule="auto"/>
        <w:jc w:val="both"/>
        <w:rPr>
          <w:rFonts w:eastAsiaTheme="minorEastAsia"/>
          <w:szCs w:val="24"/>
        </w:rPr>
      </w:pPr>
      <w:r>
        <w:rPr>
          <w:rFonts w:eastAsiaTheme="minorEastAsia"/>
          <w:b/>
          <w:szCs w:val="24"/>
        </w:rPr>
        <w:br/>
        <w:t>Pomůcky:</w:t>
      </w:r>
      <w:r>
        <w:rPr>
          <w:rFonts w:eastAsiaTheme="minorEastAsia"/>
          <w:szCs w:val="24"/>
        </w:rPr>
        <w:t xml:space="preserve"> stereogate, plastová injekční stříkačka o objemu 20 ml (50 ml), slámka (gumová hadička o vnitřním průměru 8 mm – 10 mm), plastové měřítko, izolepa, stativový materiál</w:t>
      </w:r>
    </w:p>
    <w:p w:rsidR="00DB7934" w:rsidRDefault="00DB7934" w:rsidP="00DB7934">
      <w:pPr>
        <w:pStyle w:val="Bntextrga"/>
        <w:tabs>
          <w:tab w:val="left" w:pos="709"/>
        </w:tabs>
        <w:spacing w:line="360" w:lineRule="auto"/>
        <w:rPr>
          <w:rFonts w:eastAsiaTheme="minorEastAsia"/>
          <w:b/>
          <w:szCs w:val="24"/>
        </w:rPr>
      </w:pPr>
      <w:r>
        <w:rPr>
          <w:rFonts w:eastAsiaTheme="minorEastAsia"/>
          <w:b/>
          <w:szCs w:val="24"/>
        </w:rPr>
        <w:t>Postup práce</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 xml:space="preserve">Uspořádání experimentu je na obrázku 2.3.1. V pravém horním rohu je detail kapky vytékající z kapiláry, v levé části obrázku je detailní záběr na plastové měřítko dočasně izolepou přilepené ke kapiláře, pomocí kterého nastavujeme různou vzdálenost mezi laserovými paprsky stereogatu. Stereogate je umístěn horizontálně. Horní optickou bránu ponecháme po celou dobu měření beze změny, laserový paprsek by měl mířit na spodní okraj kapky vytékající z kapiláry. Pomocí této horní fotobrány zaznamenáváme okamžik odtržení kapky od kapiláry.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Polohu dolní optické brány postupně měníme od přibližně 4 cm do 10 cm. Pro větší vzdálenosti je již velmi obtížné docílit toho, aby padající kapka prošla dolní fotobránou. Plastovou stříkačku upneme ve svislé poloze do držáku baněk a k jejímu dolnímu konci připevníme slámku, gumovou hadičku nebo jakoukoliv trubičku o minimálním vnitřním průměru 8 mm. </w:t>
      </w:r>
    </w:p>
    <w:p w:rsidR="00DB7934" w:rsidRDefault="00DB7934" w:rsidP="00DB7934">
      <w:pPr>
        <w:pStyle w:val="Bntextrga"/>
        <w:tabs>
          <w:tab w:val="left" w:pos="709"/>
        </w:tabs>
        <w:spacing w:line="360" w:lineRule="auto"/>
        <w:rPr>
          <w:rFonts w:eastAsiaTheme="minorEastAsia"/>
          <w:szCs w:val="24"/>
        </w:rPr>
      </w:pPr>
      <w:r>
        <w:rPr>
          <w:rFonts w:eastAsiaTheme="minorEastAsia"/>
          <w:noProof/>
          <w:szCs w:val="24"/>
          <w:lang w:eastAsia="cs-CZ"/>
        </w:rPr>
        <w:lastRenderedPageBreak/>
        <w:drawing>
          <wp:inline distT="0" distB="0" distL="0" distR="0" wp14:anchorId="314B9AF1" wp14:editId="3C83EE43">
            <wp:extent cx="5760085" cy="3239770"/>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3_metoda_max_kapk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DB7934" w:rsidRPr="005141E7" w:rsidRDefault="00DB7934" w:rsidP="00DB7934">
      <w:pPr>
        <w:pStyle w:val="Bntextrga"/>
        <w:spacing w:line="360" w:lineRule="auto"/>
        <w:jc w:val="center"/>
        <w:rPr>
          <w:rFonts w:eastAsiaTheme="minorEastAsia"/>
          <w:sz w:val="20"/>
          <w:szCs w:val="20"/>
        </w:rPr>
      </w:pPr>
      <w:r>
        <w:rPr>
          <w:rFonts w:eastAsiaTheme="minorEastAsia"/>
          <w:sz w:val="20"/>
          <w:szCs w:val="20"/>
        </w:rPr>
        <w:t>Obr. 2.3</w:t>
      </w:r>
      <w:r w:rsidRPr="007A2BCA">
        <w:rPr>
          <w:rFonts w:eastAsiaTheme="minorEastAsia"/>
          <w:sz w:val="20"/>
          <w:szCs w:val="20"/>
        </w:rPr>
        <w:t>.</w:t>
      </w:r>
      <w:r>
        <w:rPr>
          <w:rFonts w:eastAsiaTheme="minorEastAsia"/>
          <w:sz w:val="20"/>
          <w:szCs w:val="20"/>
        </w:rPr>
        <w:t>1</w:t>
      </w:r>
      <w:r w:rsidRPr="007A2BCA">
        <w:rPr>
          <w:rFonts w:eastAsiaTheme="minorEastAsia"/>
          <w:sz w:val="20"/>
          <w:szCs w:val="20"/>
        </w:rPr>
        <w:t xml:space="preserve"> </w:t>
      </w:r>
      <w:r>
        <w:rPr>
          <w:rFonts w:eastAsiaTheme="minorEastAsia"/>
          <w:sz w:val="20"/>
          <w:szCs w:val="20"/>
        </w:rPr>
        <w:t>Uspořádání experimentu</w:t>
      </w:r>
      <w:r w:rsidRPr="007A2BCA">
        <w:rPr>
          <w:rFonts w:eastAsiaTheme="minorEastAsia"/>
          <w:sz w:val="20"/>
          <w:szCs w:val="20"/>
        </w:rPr>
        <w:t xml:space="preserve"> – Měření </w:t>
      </w:r>
      <w:r>
        <w:rPr>
          <w:rFonts w:eastAsiaTheme="minorEastAsia"/>
          <w:sz w:val="20"/>
          <w:szCs w:val="20"/>
        </w:rPr>
        <w:t>povrchového napětí kapaliny metodou maximální kapky</w:t>
      </w:r>
    </w:p>
    <w:p w:rsidR="00B50E9E" w:rsidRDefault="00DB7934" w:rsidP="00DB7934">
      <w:pPr>
        <w:pStyle w:val="Bntextrga"/>
        <w:tabs>
          <w:tab w:val="left" w:pos="709"/>
        </w:tabs>
        <w:spacing w:line="360" w:lineRule="auto"/>
        <w:jc w:val="both"/>
        <w:rPr>
          <w:rFonts w:eastAsiaTheme="minorEastAsia"/>
          <w:szCs w:val="24"/>
        </w:rPr>
      </w:pPr>
      <w:r>
        <w:rPr>
          <w:rFonts w:eastAsiaTheme="minorEastAsia"/>
          <w:szCs w:val="24"/>
        </w:rPr>
        <w:tab/>
      </w:r>
    </w:p>
    <w:p w:rsidR="00DB7934" w:rsidRDefault="00B50E9E" w:rsidP="00DB7934">
      <w:pPr>
        <w:pStyle w:val="Bntextrga"/>
        <w:tabs>
          <w:tab w:val="left" w:pos="709"/>
        </w:tabs>
        <w:spacing w:line="360" w:lineRule="auto"/>
        <w:jc w:val="both"/>
        <w:rPr>
          <w:rFonts w:eastAsiaTheme="minorEastAsia"/>
          <w:szCs w:val="24"/>
        </w:rPr>
      </w:pPr>
      <w:r>
        <w:rPr>
          <w:rFonts w:eastAsiaTheme="minorEastAsia"/>
          <w:szCs w:val="24"/>
        </w:rPr>
        <w:tab/>
      </w:r>
      <w:r w:rsidR="00DB7934">
        <w:rPr>
          <w:rFonts w:eastAsiaTheme="minorEastAsia"/>
          <w:szCs w:val="24"/>
        </w:rPr>
        <w:t xml:space="preserve">Maximální průměr je omezen schopností kapiláry vytvořit kapku a pohybuje se kolem hodnoty 10 mm. </w:t>
      </w:r>
      <w:r w:rsidR="00DB7934" w:rsidRPr="00C51B07">
        <w:rPr>
          <w:rFonts w:eastAsiaTheme="minorEastAsia"/>
          <w:szCs w:val="24"/>
        </w:rPr>
        <w:t>Při realizaci vlastního experimentu jsme použili jako kapiláru část plastového nástavce od propisovací tužky o vnitřním průměru 8 mm. Lze ale také využít např. obyčejné plastové brčko s vnitřním průměrem 5,8 mm.</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Při spuštění programu FAE a nového měření aktivujeme nejprve záznam stereo módu. Dále ve FAE zaznamenáme průchod kapky stereogatem. Již zvětšený průběh stereo signálu vidíme na obrázku 2.3.2, na kterém je také modře vyznačen výběr časového intervalu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12</m:t>
            </m:r>
          </m:sub>
        </m:sSub>
      </m:oMath>
      <w:r>
        <w:rPr>
          <w:rFonts w:eastAsiaTheme="minorEastAsia"/>
          <w:szCs w:val="24"/>
        </w:rPr>
        <w:t xml:space="preserve"> odpovídajícího průchodu kapky mezi horní a dolní optickou bránou. Na rozdíl od oscilogramů získaným monogatem pozorujeme rozdělení obrazovky na horní část, která odpovídá záznamu z levého kanálu L zvukové karty a dolní část, ve které je zobrazen signál z pravého kanálu R. Můžeme si také povšimnout skutečnosti, že průběh signálu v kanálu L je vlivem odtržení kapky složitější, než jednoduchý průběh signálu v kanálu R v dolní části obrazovky. </w:t>
      </w:r>
    </w:p>
    <w:p w:rsidR="00DB7934" w:rsidRPr="00FE7DD1" w:rsidRDefault="00DB7934" w:rsidP="00DB7934">
      <w:pPr>
        <w:pStyle w:val="Bntextrga"/>
        <w:tabs>
          <w:tab w:val="left" w:pos="709"/>
        </w:tabs>
        <w:spacing w:line="360" w:lineRule="auto"/>
        <w:jc w:val="both"/>
        <w:rPr>
          <w:rFonts w:eastAsiaTheme="minorEastAsia"/>
          <w:szCs w:val="24"/>
        </w:rPr>
      </w:pPr>
      <w:r>
        <w:rPr>
          <w:rFonts w:eastAsiaTheme="minorEastAsia"/>
          <w:szCs w:val="24"/>
        </w:rPr>
        <w:tab/>
      </w:r>
      <w:r w:rsidRPr="002C270F">
        <w:rPr>
          <w:rFonts w:eastAsiaTheme="minorEastAsia"/>
          <w:szCs w:val="24"/>
        </w:rPr>
        <w:t xml:space="preserve">Velikost kapky </w:t>
      </w:r>
      <w:r>
        <w:rPr>
          <w:rFonts w:eastAsiaTheme="minorEastAsia"/>
          <w:szCs w:val="24"/>
        </w:rPr>
        <w:t>určíme</w:t>
      </w:r>
      <w:r w:rsidRPr="002C270F">
        <w:rPr>
          <w:rFonts w:eastAsiaTheme="minorEastAsia"/>
          <w:szCs w:val="24"/>
        </w:rPr>
        <w:t xml:space="preserve"> ze součinu rychlosti kapky a doby průchodu kapky </w:t>
      </w:r>
      <w:r>
        <w:rPr>
          <w:rFonts w:eastAsiaTheme="minorEastAsia"/>
          <w:szCs w:val="24"/>
        </w:rPr>
        <w:t xml:space="preserve">dolní </w:t>
      </w:r>
      <w:r w:rsidRPr="002C270F">
        <w:rPr>
          <w:rFonts w:eastAsiaTheme="minorEastAsia"/>
          <w:szCs w:val="24"/>
        </w:rPr>
        <w:t>optickou závorou</w:t>
      </w:r>
      <w:r>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oMath>
      <w:r>
        <w:rPr>
          <w:rFonts w:eastAsiaTheme="minorEastAsia"/>
          <w:szCs w:val="24"/>
        </w:rPr>
        <w:t>. Detailní pohled na zvětšený signál z kanálu R, ze kterého určíme čas</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oMath>
      <w:r>
        <w:rPr>
          <w:rFonts w:eastAsiaTheme="minorEastAsia"/>
          <w:szCs w:val="24"/>
        </w:rPr>
        <w:t>, ilustruje obrázek 2.3.3</w:t>
      </w:r>
      <w:r w:rsidRPr="002C270F">
        <w:rPr>
          <w:rFonts w:eastAsiaTheme="minorEastAsia"/>
          <w:szCs w:val="24"/>
        </w:rPr>
        <w:t xml:space="preserve">. Rychlost kapky </w:t>
      </w:r>
      <m:oMath>
        <m:r>
          <w:rPr>
            <w:rFonts w:ascii="Cambria Math" w:eastAsiaTheme="minorEastAsia" w:hAnsi="Cambria Math"/>
            <w:szCs w:val="24"/>
          </w:rPr>
          <m:t>v</m:t>
        </m:r>
      </m:oMath>
      <w:r w:rsidRPr="002C270F">
        <w:rPr>
          <w:rFonts w:eastAsiaTheme="minorEastAsia"/>
          <w:szCs w:val="24"/>
        </w:rPr>
        <w:t xml:space="preserve"> </w:t>
      </w:r>
      <w:r>
        <w:rPr>
          <w:rFonts w:eastAsiaTheme="minorEastAsia"/>
          <w:szCs w:val="24"/>
        </w:rPr>
        <w:t>vypočítáme</w:t>
      </w:r>
      <w:r w:rsidRPr="002C270F">
        <w:rPr>
          <w:rFonts w:eastAsiaTheme="minorEastAsia"/>
          <w:szCs w:val="24"/>
        </w:rPr>
        <w:t xml:space="preserve"> z klasického vztahu pro </w:t>
      </w:r>
      <w:r>
        <w:rPr>
          <w:rFonts w:eastAsiaTheme="minorEastAsia"/>
          <w:szCs w:val="24"/>
        </w:rPr>
        <w:t>rychlost</w:t>
      </w:r>
      <w:r w:rsidRPr="002C270F">
        <w:rPr>
          <w:rFonts w:eastAsiaTheme="minorEastAsia"/>
          <w:szCs w:val="24"/>
        </w:rPr>
        <w:t xml:space="preserve"> volného pádu ze vztahu </w:t>
      </w:r>
      <m:oMath>
        <m:r>
          <w:rPr>
            <w:rFonts w:ascii="Cambria Math" w:eastAsiaTheme="minorEastAsia" w:hAnsi="Cambria Math"/>
            <w:szCs w:val="24"/>
          </w:rPr>
          <m:t>v=</m:t>
        </m:r>
        <m:rad>
          <m:radPr>
            <m:degHide m:val="1"/>
            <m:ctrlPr>
              <w:rPr>
                <w:rFonts w:ascii="Cambria Math" w:eastAsiaTheme="minorEastAsia" w:hAnsi="Cambria Math"/>
                <w:i/>
                <w:szCs w:val="24"/>
              </w:rPr>
            </m:ctrlPr>
          </m:radPr>
          <m:deg/>
          <m:e>
            <m:r>
              <w:rPr>
                <w:rFonts w:ascii="Cambria Math" w:eastAsiaTheme="minorEastAsia" w:hAnsi="Cambria Math"/>
                <w:szCs w:val="24"/>
              </w:rPr>
              <m:t>2gh</m:t>
            </m:r>
          </m:e>
        </m:rad>
      </m:oMath>
      <w:r w:rsidRPr="002C270F">
        <w:rPr>
          <w:rFonts w:eastAsiaTheme="minorEastAsia"/>
          <w:szCs w:val="24"/>
        </w:rPr>
        <w:t xml:space="preserve">, kde </w:t>
      </w:r>
      <w:r w:rsidRPr="002C270F">
        <w:rPr>
          <w:rFonts w:eastAsiaTheme="minorEastAsia"/>
          <w:i/>
          <w:szCs w:val="24"/>
        </w:rPr>
        <w:t>h</w:t>
      </w:r>
      <w:r w:rsidRPr="002C270F">
        <w:rPr>
          <w:rFonts w:eastAsiaTheme="minorEastAsia"/>
          <w:szCs w:val="24"/>
        </w:rPr>
        <w:t xml:space="preserve"> je vzdálenost </w:t>
      </w:r>
      <w:r>
        <w:rPr>
          <w:rFonts w:eastAsiaTheme="minorEastAsia"/>
          <w:szCs w:val="24"/>
        </w:rPr>
        <w:t>horní a dolní fotobrány, kterou měříme pomocí plastového měřítka</w:t>
      </w:r>
      <w:r w:rsidRPr="002C270F">
        <w:rPr>
          <w:rFonts w:eastAsiaTheme="minorEastAsia"/>
          <w:szCs w:val="24"/>
        </w:rPr>
        <w:t>.</w:t>
      </w:r>
      <w:r>
        <w:rPr>
          <w:rFonts w:eastAsiaTheme="minorEastAsia"/>
          <w:szCs w:val="24"/>
        </w:rPr>
        <w:t xml:space="preserve"> Horní laser míří vždy na počátek stupnice, dolní laser na zvolenou hodnotu vzdálenosti </w:t>
      </w:r>
      <w:r>
        <w:rPr>
          <w:rFonts w:eastAsiaTheme="minorEastAsia"/>
          <w:i/>
          <w:szCs w:val="24"/>
        </w:rPr>
        <w:t>h</w:t>
      </w:r>
      <w:r>
        <w:rPr>
          <w:rFonts w:eastAsiaTheme="minorEastAsia"/>
          <w:szCs w:val="24"/>
        </w:rPr>
        <w:t>, viz detail v levém okraji obrázku 2.3.1.</w:t>
      </w:r>
    </w:p>
    <w:p w:rsidR="00DB7934" w:rsidRDefault="00DB7934" w:rsidP="00DB7934">
      <w:pPr>
        <w:pStyle w:val="Bntextrga"/>
        <w:tabs>
          <w:tab w:val="left" w:pos="709"/>
        </w:tabs>
        <w:spacing w:line="360" w:lineRule="auto"/>
        <w:jc w:val="both"/>
        <w:rPr>
          <w:rFonts w:eastAsiaTheme="minorEastAsia"/>
          <w:szCs w:val="24"/>
        </w:rPr>
      </w:pPr>
      <w:r>
        <w:rPr>
          <w:rFonts w:eastAsiaTheme="minorEastAsia"/>
          <w:noProof/>
          <w:szCs w:val="24"/>
          <w:lang w:eastAsia="cs-CZ"/>
        </w:rPr>
        <w:lastRenderedPageBreak/>
        <w:drawing>
          <wp:inline distT="0" distB="0" distL="0" distR="0" wp14:anchorId="2C586199" wp14:editId="55A4FB94">
            <wp:extent cx="5760085" cy="3239770"/>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3_oscilogram_max_kapka_laser1-2-stereog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DB7934" w:rsidRPr="005141E7" w:rsidRDefault="00DB7934" w:rsidP="00DB7934">
      <w:pPr>
        <w:pStyle w:val="Bntextrga"/>
        <w:spacing w:line="360" w:lineRule="auto"/>
        <w:jc w:val="center"/>
        <w:rPr>
          <w:rFonts w:eastAsiaTheme="minorEastAsia"/>
          <w:sz w:val="20"/>
          <w:szCs w:val="20"/>
        </w:rPr>
      </w:pPr>
      <w:r>
        <w:rPr>
          <w:rFonts w:eastAsiaTheme="minorEastAsia"/>
          <w:sz w:val="20"/>
          <w:szCs w:val="20"/>
        </w:rPr>
        <w:t>Obr. 2.3</w:t>
      </w:r>
      <w:r w:rsidRPr="007A2BCA">
        <w:rPr>
          <w:rFonts w:eastAsiaTheme="minorEastAsia"/>
          <w:sz w:val="20"/>
          <w:szCs w:val="20"/>
        </w:rPr>
        <w:t>.</w:t>
      </w:r>
      <w:r>
        <w:rPr>
          <w:rFonts w:eastAsiaTheme="minorEastAsia"/>
          <w:sz w:val="20"/>
          <w:szCs w:val="20"/>
        </w:rPr>
        <w:t>2</w:t>
      </w:r>
      <w:r w:rsidRPr="007A2BCA">
        <w:rPr>
          <w:rFonts w:eastAsiaTheme="minorEastAsia"/>
          <w:sz w:val="20"/>
          <w:szCs w:val="20"/>
        </w:rPr>
        <w:t xml:space="preserve"> </w:t>
      </w:r>
      <w:r>
        <w:rPr>
          <w:rFonts w:eastAsiaTheme="minorEastAsia"/>
          <w:sz w:val="20"/>
          <w:szCs w:val="20"/>
        </w:rPr>
        <w:t>Oscilogram experimentu</w:t>
      </w:r>
      <w:r w:rsidRPr="007A2BCA">
        <w:rPr>
          <w:rFonts w:eastAsiaTheme="minorEastAsia"/>
          <w:sz w:val="20"/>
          <w:szCs w:val="20"/>
        </w:rPr>
        <w:t xml:space="preserve"> – Měření </w:t>
      </w:r>
      <w:r>
        <w:rPr>
          <w:rFonts w:eastAsiaTheme="minorEastAsia"/>
          <w:sz w:val="20"/>
          <w:szCs w:val="20"/>
        </w:rPr>
        <w:t>povrchového napětí kapaliny metodou maximální kapky – zobrazení signálu kanálu L (nahoře) a R (dole)</w:t>
      </w:r>
    </w:p>
    <w:p w:rsidR="00DB7934" w:rsidRDefault="00DB7934" w:rsidP="00DB7934">
      <w:pPr>
        <w:pStyle w:val="Bntextrga"/>
        <w:tabs>
          <w:tab w:val="left" w:pos="709"/>
        </w:tabs>
        <w:spacing w:line="360" w:lineRule="auto"/>
        <w:jc w:val="center"/>
        <w:rPr>
          <w:rFonts w:eastAsiaTheme="minorEastAsia"/>
          <w:szCs w:val="24"/>
        </w:rPr>
      </w:pPr>
      <w:r>
        <w:rPr>
          <w:rFonts w:eastAsiaTheme="minorEastAsia"/>
          <w:noProof/>
          <w:szCs w:val="24"/>
          <w:lang w:eastAsia="cs-CZ"/>
        </w:rPr>
        <w:drawing>
          <wp:inline distT="0" distB="0" distL="0" distR="0" wp14:anchorId="3554442B" wp14:editId="7CC7F292">
            <wp:extent cx="5760085" cy="3239770"/>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3_oscilogram_max_kap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DB7934" w:rsidRPr="005141E7" w:rsidRDefault="00DB7934" w:rsidP="00DB7934">
      <w:pPr>
        <w:pStyle w:val="Bntextrga"/>
        <w:spacing w:line="360" w:lineRule="auto"/>
        <w:jc w:val="center"/>
        <w:rPr>
          <w:rFonts w:eastAsiaTheme="minorEastAsia"/>
          <w:sz w:val="20"/>
          <w:szCs w:val="20"/>
        </w:rPr>
      </w:pPr>
      <w:r>
        <w:rPr>
          <w:rFonts w:eastAsiaTheme="minorEastAsia"/>
          <w:sz w:val="20"/>
          <w:szCs w:val="20"/>
        </w:rPr>
        <w:t>Obr. 2.3</w:t>
      </w:r>
      <w:r w:rsidRPr="007A2BCA">
        <w:rPr>
          <w:rFonts w:eastAsiaTheme="minorEastAsia"/>
          <w:sz w:val="20"/>
          <w:szCs w:val="20"/>
        </w:rPr>
        <w:t>.</w:t>
      </w:r>
      <w:r>
        <w:rPr>
          <w:rFonts w:eastAsiaTheme="minorEastAsia"/>
          <w:sz w:val="20"/>
          <w:szCs w:val="20"/>
        </w:rPr>
        <w:t>3</w:t>
      </w:r>
      <w:r w:rsidRPr="007A2BCA">
        <w:rPr>
          <w:rFonts w:eastAsiaTheme="minorEastAsia"/>
          <w:sz w:val="20"/>
          <w:szCs w:val="20"/>
        </w:rPr>
        <w:t xml:space="preserve"> </w:t>
      </w:r>
      <w:r>
        <w:rPr>
          <w:rFonts w:eastAsiaTheme="minorEastAsia"/>
          <w:sz w:val="20"/>
          <w:szCs w:val="20"/>
        </w:rPr>
        <w:t>Oscilogram experimentu</w:t>
      </w:r>
      <w:r w:rsidRPr="007A2BCA">
        <w:rPr>
          <w:rFonts w:eastAsiaTheme="minorEastAsia"/>
          <w:sz w:val="20"/>
          <w:szCs w:val="20"/>
        </w:rPr>
        <w:t xml:space="preserve"> – Měření </w:t>
      </w:r>
      <w:r>
        <w:rPr>
          <w:rFonts w:eastAsiaTheme="minorEastAsia"/>
          <w:sz w:val="20"/>
          <w:szCs w:val="20"/>
        </w:rPr>
        <w:t>povrchového napětí kapaliny metodou maximální kapky – výběr části signálu odpovídajícímu průchodu kapky dolní fotobránou</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Správný výběr oblasti odpovídající průchodu kapky dolní fotobránou patří k nejtěžším úkolům této úlohy a významně ovlivňuje získané výsledky. Je třeba tedy věnovat mimořádnou pozornost práci ve FAE. Nejprve přepneme program na zobrazení pravého kanálu pomocí nastavení v horním menu na kartě </w:t>
      </w:r>
      <w:proofErr w:type="spellStart"/>
      <w:r w:rsidRPr="00A40BF1">
        <w:rPr>
          <w:rFonts w:eastAsiaTheme="minorEastAsia"/>
          <w:i/>
          <w:szCs w:val="24"/>
        </w:rPr>
        <w:t>Options</w:t>
      </w:r>
      <w:proofErr w:type="spellEnd"/>
      <w:r>
        <w:rPr>
          <w:rFonts w:eastAsiaTheme="minorEastAsia"/>
          <w:szCs w:val="24"/>
        </w:rPr>
        <w:t xml:space="preserve"> </w:t>
      </w:r>
      <w:r>
        <w:rPr>
          <w:rFonts w:eastAsiaTheme="minorEastAsia"/>
          <w:szCs w:val="24"/>
        </w:rPr>
        <w:sym w:font="Wingdings 3" w:char="F022"/>
      </w:r>
      <w:r>
        <w:rPr>
          <w:rFonts w:eastAsiaTheme="minorEastAsia"/>
          <w:szCs w:val="24"/>
        </w:rPr>
        <w:t xml:space="preserve"> </w:t>
      </w:r>
      <w:proofErr w:type="spellStart"/>
      <w:r w:rsidRPr="00A40BF1">
        <w:rPr>
          <w:rFonts w:eastAsiaTheme="minorEastAsia"/>
          <w:i/>
          <w:szCs w:val="24"/>
        </w:rPr>
        <w:t>Right</w:t>
      </w:r>
      <w:proofErr w:type="spellEnd"/>
      <w:r>
        <w:rPr>
          <w:rFonts w:eastAsiaTheme="minorEastAsia"/>
          <w:i/>
          <w:szCs w:val="24"/>
        </w:rPr>
        <w:t xml:space="preserve"> </w:t>
      </w:r>
      <w:proofErr w:type="spellStart"/>
      <w:r w:rsidRPr="00A40BF1">
        <w:rPr>
          <w:rFonts w:eastAsiaTheme="minorEastAsia"/>
          <w:i/>
          <w:szCs w:val="24"/>
        </w:rPr>
        <w:t>Channel</w:t>
      </w:r>
      <w:proofErr w:type="spellEnd"/>
      <w:r>
        <w:rPr>
          <w:rFonts w:eastAsiaTheme="minorEastAsia"/>
          <w:szCs w:val="24"/>
        </w:rPr>
        <w:t xml:space="preserve">. Zobrazí se nám </w:t>
      </w:r>
      <w:r>
        <w:rPr>
          <w:rFonts w:eastAsiaTheme="minorEastAsia"/>
          <w:szCs w:val="24"/>
        </w:rPr>
        <w:lastRenderedPageBreak/>
        <w:t>pouze záznam z dolní fotobrány, který si ještě zvětšíme pomocí nástroje Lupa (</w:t>
      </w:r>
      <w:proofErr w:type="spellStart"/>
      <w:r w:rsidRPr="00A40BF1">
        <w:rPr>
          <w:rFonts w:eastAsiaTheme="minorEastAsia"/>
          <w:i/>
          <w:szCs w:val="24"/>
        </w:rPr>
        <w:t>Zooms</w:t>
      </w:r>
      <w:proofErr w:type="spellEnd"/>
      <w:r w:rsidRPr="00A40BF1">
        <w:rPr>
          <w:rFonts w:eastAsiaTheme="minorEastAsia"/>
          <w:i/>
          <w:szCs w:val="24"/>
        </w:rPr>
        <w:t xml:space="preserve"> in.</w:t>
      </w:r>
      <w:r>
        <w:rPr>
          <w:rFonts w:eastAsiaTheme="minorEastAsia"/>
          <w:szCs w:val="24"/>
        </w:rPr>
        <w:t>) v dolním pravém rohu obrazovky FAE.</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Výběr oblasti času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oMath>
      <w:r>
        <w:rPr>
          <w:rFonts w:eastAsiaTheme="minorEastAsia"/>
          <w:szCs w:val="24"/>
        </w:rPr>
        <w:t xml:space="preserve"> provedeme podle obrázku 2.3.3. Výběr začíná v okamžiku nárůstu signálu z nulové hodnoty a končí tam, kde signál dosahuje nejmenší hodnoty, tj. jedná se o okamžik, kdy kapka opustila laserový paprsek. Protože hodnoty povrchových napětí jsou velmi malé, řádově </w:t>
      </w:r>
      <w:proofErr w:type="spellStart"/>
      <w:r>
        <w:rPr>
          <w:rFonts w:eastAsiaTheme="minorEastAsia"/>
          <w:szCs w:val="24"/>
        </w:rPr>
        <w:t>mN</w:t>
      </w:r>
      <w:proofErr w:type="spellEnd"/>
      <w:r>
        <w:rPr>
          <w:rFonts w:eastAsiaTheme="minorEastAsia"/>
          <w:szCs w:val="24"/>
        </w:rPr>
        <w:t xml:space="preserve"> </w:t>
      </w:r>
      <w:r>
        <w:rPr>
          <w:rFonts w:eastAsiaTheme="minorEastAsia" w:cs="Times New Roman"/>
          <w:szCs w:val="24"/>
        </w:rPr>
        <w:t>∙</w:t>
      </w:r>
      <w:r>
        <w:rPr>
          <w:rFonts w:eastAsiaTheme="minorEastAsia"/>
          <w:szCs w:val="24"/>
        </w:rPr>
        <w:t xml:space="preserve"> </w: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Pr>
          <w:rFonts w:eastAsiaTheme="minorEastAsia"/>
          <w:szCs w:val="24"/>
        </w:rPr>
        <w:t xml:space="preserve">, nestačí tentokrát v programu FAE zjistit hodnotu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oMath>
      <w:r>
        <w:rPr>
          <w:rFonts w:eastAsiaTheme="minorEastAsia"/>
          <w:szCs w:val="24"/>
        </w:rPr>
        <w:t xml:space="preserve"> z hodnoty v okénku </w:t>
      </w:r>
      <w:proofErr w:type="spellStart"/>
      <w:r w:rsidRPr="00BC3020">
        <w:rPr>
          <w:rFonts w:eastAsiaTheme="minorEastAsia"/>
          <w:i/>
          <w:szCs w:val="24"/>
        </w:rPr>
        <w:t>Length</w:t>
      </w:r>
      <w:proofErr w:type="spellEnd"/>
      <w:r>
        <w:rPr>
          <w:rFonts w:eastAsiaTheme="minorEastAsia"/>
          <w:szCs w:val="24"/>
        </w:rPr>
        <w:t xml:space="preserve">. Časové údaje pro vodu je třeba určit na čtyři desetinná místa a pro líh dokonce na pět desetinných míst, jak je vidět v tabulce námi naměřených hodnot 2.3. </w:t>
      </w:r>
      <w:r>
        <w:rPr>
          <w:rFonts w:eastAsiaTheme="minorEastAsia"/>
          <w:szCs w:val="24"/>
        </w:rPr>
        <w:br/>
      </w:r>
      <w:r>
        <w:rPr>
          <w:rFonts w:eastAsiaTheme="minorEastAsia"/>
          <w:szCs w:val="24"/>
        </w:rPr>
        <w:tab/>
        <w:t xml:space="preserve">Záznam signálu zvětšíme ve FAE natolik, aby číselné hodnoty na časové ose měly za desetinnou čárkou čtyři, resp. pět číslic. Po provedení výběru oblasti zjistíme na časové ose hodnoty časů odpovídajících začátku a konci výběru na čtyři (u vody), resp. pět desetinných míst (u lihu) a z jejich rozdílu vypočítáme hodnotu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oMath>
      <w:r>
        <w:rPr>
          <w:rFonts w:eastAsiaTheme="minorEastAsia"/>
          <w:szCs w:val="24"/>
        </w:rPr>
        <w:t>.</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r>
      <w:r w:rsidRPr="00255890">
        <w:rPr>
          <w:rFonts w:eastAsiaTheme="minorEastAsia"/>
          <w:szCs w:val="24"/>
        </w:rPr>
        <w:t xml:space="preserve">Pro hustoty kapalin jsme použili tabulkové hodnoty při 20 °C: </w:t>
      </w:r>
      <w:r>
        <w:rPr>
          <w:rFonts w:eastAsiaTheme="minorEastAsia"/>
          <w:szCs w:val="24"/>
        </w:rPr>
        <w:br/>
      </w:r>
      <m:oMath>
        <m:sSub>
          <m:sSubPr>
            <m:ctrlPr>
              <w:rPr>
                <w:rFonts w:ascii="Cambria Math" w:eastAsiaTheme="minorEastAsia" w:hAnsi="Cambria Math"/>
                <w:i/>
                <w:szCs w:val="24"/>
              </w:rPr>
            </m:ctrlPr>
          </m:sSubPr>
          <m:e>
            <m:r>
              <w:rPr>
                <w:rFonts w:ascii="Cambria Math" w:eastAsiaTheme="minorEastAsia" w:hAnsi="Cambria Math"/>
                <w:szCs w:val="24"/>
              </w:rPr>
              <m:t>ρ</m:t>
            </m:r>
          </m:e>
          <m:sub>
            <m:r>
              <w:rPr>
                <w:rFonts w:ascii="Cambria Math" w:eastAsiaTheme="minorEastAsia" w:hAnsi="Cambria Math"/>
                <w:szCs w:val="24"/>
              </w:rPr>
              <m:t>voda</m:t>
            </m:r>
          </m:sub>
        </m:sSub>
        <m:r>
          <w:rPr>
            <w:rFonts w:ascii="Cambria Math" w:eastAsiaTheme="minorEastAsia" w:hAnsi="Cambria Math"/>
            <w:szCs w:val="24"/>
          </w:rPr>
          <m:t>=1000</m:t>
        </m:r>
      </m:oMath>
      <w:r>
        <w:rPr>
          <w:rFonts w:eastAsiaTheme="minorEastAsia"/>
          <w:szCs w:val="24"/>
        </w:rPr>
        <w:t xml:space="preserve"> </w:t>
      </w:r>
      <m:oMath>
        <m:r>
          <m:rPr>
            <m:sty m:val="p"/>
          </m:rPr>
          <w:rPr>
            <w:rFonts w:ascii="Cambria Math" w:hAnsi="Cambria Math"/>
          </w:rPr>
          <m:t>kg∙</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255890">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ρ</m:t>
            </m:r>
          </m:e>
          <m:sub>
            <m:r>
              <w:rPr>
                <w:rFonts w:ascii="Cambria Math" w:eastAsiaTheme="minorEastAsia" w:hAnsi="Cambria Math"/>
                <w:szCs w:val="24"/>
              </w:rPr>
              <m:t>líh</m:t>
            </m:r>
          </m:sub>
        </m:sSub>
        <m:r>
          <w:rPr>
            <w:rFonts w:ascii="Cambria Math" w:eastAsiaTheme="minorEastAsia" w:hAnsi="Cambria Math"/>
            <w:szCs w:val="24"/>
          </w:rPr>
          <m:t>=789</m:t>
        </m:r>
      </m:oMath>
      <w:r>
        <w:rPr>
          <w:rFonts w:eastAsiaTheme="minorEastAsia"/>
          <w:szCs w:val="24"/>
        </w:rPr>
        <w:t xml:space="preserve"> </w:t>
      </w:r>
      <m:oMath>
        <m:r>
          <m:rPr>
            <m:sty m:val="p"/>
          </m:rPr>
          <w:rPr>
            <w:rFonts w:ascii="Cambria Math" w:hAnsi="Cambria Math"/>
          </w:rPr>
          <m:t>kg∙</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255890">
        <w:rPr>
          <w:rFonts w:eastAsiaTheme="minorEastAsia"/>
          <w:szCs w:val="24"/>
        </w:rPr>
        <w:t xml:space="preserve">.  </w:t>
      </w:r>
    </w:p>
    <w:p w:rsidR="00DB7934" w:rsidRPr="00255890" w:rsidRDefault="00DB7934" w:rsidP="00DB7934">
      <w:pPr>
        <w:pStyle w:val="Bntextrga"/>
        <w:tabs>
          <w:tab w:val="left" w:pos="709"/>
        </w:tabs>
        <w:spacing w:line="360" w:lineRule="auto"/>
        <w:jc w:val="both"/>
        <w:rPr>
          <w:rFonts w:eastAsiaTheme="minorEastAsia"/>
          <w:szCs w:val="24"/>
        </w:rPr>
      </w:pPr>
    </w:p>
    <w:p w:rsidR="00DB7934" w:rsidRPr="0032541C" w:rsidRDefault="00DB7934" w:rsidP="00DB7934">
      <w:pPr>
        <w:spacing w:after="120" w:line="240" w:lineRule="auto"/>
        <w:jc w:val="both"/>
        <w:rPr>
          <w:rFonts w:ascii="Times New Roman" w:eastAsiaTheme="minorEastAsia" w:hAnsi="Times New Roman" w:cs="Times New Roman"/>
          <w:sz w:val="24"/>
          <w:szCs w:val="24"/>
          <w:lang w:eastAsia="cs-CZ"/>
        </w:rPr>
      </w:pPr>
      <w:r>
        <w:rPr>
          <w:rFonts w:ascii="Times New Roman" w:eastAsiaTheme="minorEastAsia" w:hAnsi="Times New Roman" w:cs="Times New Roman"/>
          <w:b/>
          <w:sz w:val="24"/>
          <w:szCs w:val="24"/>
          <w:lang w:eastAsia="cs-CZ"/>
        </w:rPr>
        <w:t>Tabulka 2.3</w:t>
      </w:r>
      <w:r w:rsidRPr="0032541C">
        <w:rPr>
          <w:rFonts w:ascii="Times New Roman" w:eastAsiaTheme="minorEastAsia" w:hAnsi="Times New Roman" w:cs="Times New Roman"/>
          <w:sz w:val="24"/>
          <w:szCs w:val="24"/>
          <w:lang w:eastAsia="cs-CZ"/>
        </w:rPr>
        <w:t xml:space="preserve"> </w:t>
      </w:r>
      <w:r>
        <w:rPr>
          <w:rFonts w:ascii="Times New Roman" w:eastAsiaTheme="minorEastAsia" w:hAnsi="Times New Roman" w:cs="Times New Roman"/>
          <w:sz w:val="24"/>
          <w:szCs w:val="24"/>
          <w:lang w:eastAsia="cs-CZ"/>
        </w:rPr>
        <w:t>Měření povrchového napětí vody a lihu metodou maximální kapky</w:t>
      </w:r>
    </w:p>
    <w:tbl>
      <w:tblPr>
        <w:tblStyle w:val="Mkatabulky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957"/>
        <w:gridCol w:w="1169"/>
        <w:gridCol w:w="1382"/>
        <w:gridCol w:w="1027"/>
        <w:gridCol w:w="1383"/>
        <w:gridCol w:w="2125"/>
      </w:tblGrid>
      <w:tr w:rsidR="00DB7934" w:rsidRPr="0032541C" w:rsidTr="00384E88">
        <w:trPr>
          <w:jc w:val="center"/>
        </w:trPr>
        <w:tc>
          <w:tcPr>
            <w:tcW w:w="1029" w:type="dxa"/>
            <w:tcBorders>
              <w:top w:val="single" w:sz="4" w:space="0" w:color="auto"/>
              <w:bottom w:val="single" w:sz="4" w:space="0" w:color="auto"/>
            </w:tcBorders>
            <w:vAlign w:val="bottom"/>
          </w:tcPr>
          <w:p w:rsidR="00DB7934" w:rsidRPr="00DE575B" w:rsidRDefault="00DB7934" w:rsidP="00384E88">
            <w:pPr>
              <w:spacing w:after="120"/>
            </w:pPr>
            <w:r>
              <w:t>kapalina</w:t>
            </w:r>
          </w:p>
        </w:tc>
        <w:tc>
          <w:tcPr>
            <w:tcW w:w="957" w:type="dxa"/>
            <w:tcBorders>
              <w:top w:val="single" w:sz="4" w:space="0" w:color="auto"/>
              <w:bottom w:val="single" w:sz="4" w:space="0" w:color="auto"/>
            </w:tcBorders>
            <w:tcMar>
              <w:top w:w="28" w:type="dxa"/>
              <w:bottom w:w="28" w:type="dxa"/>
            </w:tcMar>
            <w:vAlign w:val="bottom"/>
          </w:tcPr>
          <w:p w:rsidR="00DB7934" w:rsidRPr="0032541C" w:rsidRDefault="00F739EF" w:rsidP="00384E88">
            <w:pPr>
              <w:spacing w:after="120"/>
              <w:jc w:val="center"/>
            </w:pP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12</m:t>
                  </m:r>
                </m:sub>
              </m:sSub>
            </m:oMath>
            <w:r w:rsidR="00DB7934" w:rsidRPr="0032541C">
              <w:t xml:space="preserve"> </w:t>
            </w:r>
            <w:r w:rsidR="00DB7934">
              <w:t>(s</w:t>
            </w:r>
            <w:r w:rsidR="00DB7934" w:rsidRPr="0032541C">
              <w:t>)</w:t>
            </w:r>
          </w:p>
        </w:tc>
        <w:tc>
          <w:tcPr>
            <w:tcW w:w="1169" w:type="dxa"/>
            <w:tcBorders>
              <w:top w:val="single" w:sz="4" w:space="0" w:color="auto"/>
              <w:bottom w:val="single" w:sz="4" w:space="0" w:color="auto"/>
            </w:tcBorders>
            <w:tcMar>
              <w:top w:w="28" w:type="dxa"/>
              <w:bottom w:w="28" w:type="dxa"/>
            </w:tcMar>
            <w:vAlign w:val="bottom"/>
          </w:tcPr>
          <w:p w:rsidR="00DB7934" w:rsidRPr="0032541C" w:rsidRDefault="00DB7934" w:rsidP="00384E88">
            <w:pPr>
              <w:spacing w:after="120"/>
              <w:jc w:val="center"/>
            </w:pPr>
            <m:oMath>
              <m:r>
                <w:rPr>
                  <w:rFonts w:ascii="Cambria Math" w:hAnsi="Cambria Math"/>
                </w:rPr>
                <m:t>h</m:t>
              </m:r>
            </m:oMath>
            <w:r>
              <w:t xml:space="preserve"> (m</w:t>
            </w:r>
            <w:r w:rsidRPr="0032541C">
              <w:t>)</w:t>
            </w:r>
          </w:p>
        </w:tc>
        <w:tc>
          <w:tcPr>
            <w:tcW w:w="1382" w:type="dxa"/>
            <w:tcBorders>
              <w:top w:val="single" w:sz="4" w:space="0" w:color="auto"/>
              <w:bottom w:val="single" w:sz="4" w:space="0" w:color="auto"/>
            </w:tcBorders>
            <w:tcMar>
              <w:top w:w="28" w:type="dxa"/>
              <w:bottom w:w="28" w:type="dxa"/>
            </w:tcMar>
            <w:vAlign w:val="bottom"/>
          </w:tcPr>
          <w:p w:rsidR="00DB7934" w:rsidRPr="0032541C" w:rsidRDefault="00DB7934" w:rsidP="00384E88">
            <w:pPr>
              <w:spacing w:after="120"/>
              <w:jc w:val="center"/>
            </w:pPr>
            <m:oMath>
              <m:r>
                <w:rPr>
                  <w:rFonts w:ascii="Cambria Math" w:hAnsi="Cambria Math"/>
                </w:rPr>
                <m:t>v</m:t>
              </m:r>
            </m:oMath>
            <w:r w:rsidRPr="0032541C">
              <w:t xml:space="preserve"> (</w:t>
            </w:r>
            <m:oMath>
              <m:r>
                <m:rPr>
                  <m:sty m:val="p"/>
                </m:rPr>
                <w:rPr>
                  <w:rFonts w:ascii="Cambria Math" w:hAnsi="Cambria Math"/>
                </w:rPr>
                <m:t>m∙</m:t>
              </m:r>
              <m:sSup>
                <m:sSupPr>
                  <m:ctrlPr>
                    <w:rPr>
                      <w:rFonts w:ascii="Cambria Math" w:eastAsiaTheme="minorHAnsi" w:hAnsi="Cambria Math" w:cstheme="minorBidi"/>
                      <w:szCs w:val="22"/>
                      <w:lang w:eastAsia="en-US"/>
                    </w:rPr>
                  </m:ctrlPr>
                </m:sSupPr>
                <m:e>
                  <m:r>
                    <m:rPr>
                      <m:sty m:val="p"/>
                    </m:rPr>
                    <w:rPr>
                      <w:rFonts w:ascii="Cambria Math" w:hAnsi="Cambria Math"/>
                    </w:rPr>
                    <m:t>s</m:t>
                  </m:r>
                </m:e>
                <m:sup>
                  <m:r>
                    <m:rPr>
                      <m:sty m:val="p"/>
                    </m:rPr>
                    <w:rPr>
                      <w:rFonts w:ascii="Cambria Math" w:hAnsi="Cambria Math"/>
                    </w:rPr>
                    <m:t>-1</m:t>
                  </m:r>
                </m:sup>
              </m:sSup>
            </m:oMath>
            <w:r w:rsidRPr="0032541C">
              <w:t>)</w:t>
            </w:r>
          </w:p>
        </w:tc>
        <w:tc>
          <w:tcPr>
            <w:tcW w:w="1027" w:type="dxa"/>
            <w:tcBorders>
              <w:top w:val="single" w:sz="4" w:space="0" w:color="auto"/>
              <w:bottom w:val="single" w:sz="4" w:space="0" w:color="auto"/>
            </w:tcBorders>
            <w:tcMar>
              <w:top w:w="28" w:type="dxa"/>
              <w:bottom w:w="28" w:type="dxa"/>
            </w:tcMar>
            <w:vAlign w:val="bottom"/>
          </w:tcPr>
          <w:p w:rsidR="00DB7934" w:rsidRPr="0032541C" w:rsidRDefault="00F739EF" w:rsidP="00384E88">
            <w:pPr>
              <w:spacing w:after="120"/>
              <w:jc w:val="center"/>
              <w:rPr>
                <w:rFonts w:eastAsia="Times New Roman"/>
              </w:rPr>
            </w:pP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2</m:t>
                  </m:r>
                </m:sub>
              </m:sSub>
            </m:oMath>
            <w:r w:rsidR="00DB7934" w:rsidRPr="0032541C">
              <w:rPr>
                <w:rFonts w:eastAsia="Times New Roman"/>
              </w:rPr>
              <w:t xml:space="preserve"> (</w:t>
            </w:r>
            <m:oMath>
              <m:r>
                <w:rPr>
                  <w:rFonts w:ascii="Cambria Math" w:eastAsia="Times New Roman" w:hAnsi="Cambria Math"/>
                </w:rPr>
                <m:t>s</m:t>
              </m:r>
            </m:oMath>
            <w:r w:rsidR="00DB7934" w:rsidRPr="0032541C">
              <w:rPr>
                <w:rFonts w:eastAsia="Times New Roman"/>
              </w:rPr>
              <w:t>)</w:t>
            </w:r>
          </w:p>
        </w:tc>
        <w:tc>
          <w:tcPr>
            <w:tcW w:w="1383" w:type="dxa"/>
            <w:tcBorders>
              <w:top w:val="single" w:sz="4" w:space="0" w:color="auto"/>
              <w:bottom w:val="single" w:sz="4" w:space="0" w:color="auto"/>
            </w:tcBorders>
            <w:tcMar>
              <w:top w:w="28" w:type="dxa"/>
              <w:bottom w:w="28" w:type="dxa"/>
            </w:tcMar>
            <w:vAlign w:val="bottom"/>
          </w:tcPr>
          <w:p w:rsidR="00DB7934" w:rsidRPr="0032541C" w:rsidRDefault="00DB7934" w:rsidP="00384E88">
            <w:pPr>
              <w:spacing w:after="120"/>
              <w:jc w:val="center"/>
              <w:rPr>
                <w:rFonts w:eastAsia="Times New Roman"/>
              </w:rPr>
            </w:pPr>
            <m:oMath>
              <m:r>
                <w:rPr>
                  <w:rFonts w:ascii="Cambria Math" w:hAnsi="Cambria Math"/>
                </w:rPr>
                <m:t>H</m:t>
              </m:r>
            </m:oMath>
            <w:r w:rsidRPr="0032541C">
              <w:t xml:space="preserve"> (</w:t>
            </w:r>
            <w:r>
              <w:t>m</w:t>
            </w:r>
            <w:r w:rsidRPr="0032541C">
              <w:t>)</w:t>
            </w:r>
          </w:p>
        </w:tc>
        <w:tc>
          <w:tcPr>
            <w:tcW w:w="2125" w:type="dxa"/>
            <w:tcBorders>
              <w:top w:val="single" w:sz="4" w:space="0" w:color="auto"/>
              <w:bottom w:val="single" w:sz="4" w:space="0" w:color="auto"/>
            </w:tcBorders>
            <w:vAlign w:val="bottom"/>
          </w:tcPr>
          <w:p w:rsidR="00DB7934" w:rsidRDefault="00DB7934" w:rsidP="00384E88">
            <w:pPr>
              <w:spacing w:after="120"/>
              <w:jc w:val="center"/>
              <w:rPr>
                <w:rFonts w:eastAsia="Calibri"/>
              </w:rPr>
            </w:pPr>
            <m:oMath>
              <m:r>
                <w:rPr>
                  <w:rFonts w:ascii="Cambria Math" w:eastAsia="Calibri" w:hAnsi="Cambria Math"/>
                </w:rPr>
                <m:t>σ</m:t>
              </m:r>
            </m:oMath>
            <w:r>
              <w:rPr>
                <w:rFonts w:eastAsia="Calibri"/>
              </w:rPr>
              <w:t xml:space="preserve"> (</w:t>
            </w:r>
            <m:oMath>
              <m:r>
                <w:rPr>
                  <w:rFonts w:ascii="Cambria Math" w:eastAsia="Calibri" w:hAnsi="Cambria Math"/>
                </w:rPr>
                <m:t>∙1</m:t>
              </m:r>
              <m:sSup>
                <m:sSupPr>
                  <m:ctrlPr>
                    <w:rPr>
                      <w:rFonts w:ascii="Cambria Math" w:eastAsia="Calibri" w:hAnsi="Cambria Math"/>
                      <w:i/>
                    </w:rPr>
                  </m:ctrlPr>
                </m:sSupPr>
                <m:e>
                  <m:r>
                    <w:rPr>
                      <w:rFonts w:ascii="Cambria Math" w:eastAsia="Calibri" w:hAnsi="Cambria Math"/>
                    </w:rPr>
                    <m:t>0</m:t>
                  </m:r>
                </m:e>
                <m:sup>
                  <m:r>
                    <w:rPr>
                      <w:rFonts w:ascii="Cambria Math" w:eastAsia="Calibri" w:hAnsi="Cambria Math"/>
                    </w:rPr>
                    <m:t>-3</m:t>
                  </m:r>
                </m:sup>
              </m:sSup>
              <m:r>
                <m:rPr>
                  <m:sty m:val="p"/>
                </m:rPr>
                <w:rPr>
                  <w:rFonts w:ascii="Cambria Math" w:hAnsi="Cambria Math"/>
                </w:rPr>
                <m:t xml:space="preserve"> N∙</m:t>
              </m:r>
              <m:sSup>
                <m:sSupPr>
                  <m:ctrlPr>
                    <w:rPr>
                      <w:rFonts w:ascii="Cambria Math" w:eastAsiaTheme="minorHAnsi" w:hAnsi="Cambria Math" w:cstheme="minorBidi"/>
                      <w:szCs w:val="22"/>
                      <w:lang w:eastAsia="en-US"/>
                    </w:rPr>
                  </m:ctrlPr>
                </m:sSupPr>
                <m:e>
                  <m:r>
                    <m:rPr>
                      <m:sty m:val="p"/>
                    </m:rPr>
                    <w:rPr>
                      <w:rFonts w:ascii="Cambria Math" w:hAnsi="Cambria Math"/>
                    </w:rPr>
                    <m:t>m</m:t>
                  </m:r>
                </m:e>
                <m:sup>
                  <m:r>
                    <m:rPr>
                      <m:sty m:val="p"/>
                    </m:rPr>
                    <w:rPr>
                      <w:rFonts w:ascii="Cambria Math" w:hAnsi="Cambria Math"/>
                    </w:rPr>
                    <m:t>-1</m:t>
                  </m:r>
                </m:sup>
              </m:sSup>
            </m:oMath>
            <w:r>
              <w:rPr>
                <w:rFonts w:eastAsia="Calibri"/>
              </w:rPr>
              <w:t>)</w:t>
            </w:r>
          </w:p>
        </w:tc>
      </w:tr>
      <w:tr w:rsidR="00DB7934" w:rsidRPr="0032541C" w:rsidTr="00384E88">
        <w:trPr>
          <w:jc w:val="center"/>
        </w:trPr>
        <w:tc>
          <w:tcPr>
            <w:tcW w:w="1029" w:type="dxa"/>
            <w:tcBorders>
              <w:top w:val="single" w:sz="4" w:space="0" w:color="auto"/>
            </w:tcBorders>
          </w:tcPr>
          <w:p w:rsidR="00DB7934" w:rsidRDefault="00DB7934" w:rsidP="00384E88">
            <w:pPr>
              <w:spacing w:after="120"/>
              <w:jc w:val="center"/>
            </w:pPr>
            <w:r>
              <w:t>voda</w:t>
            </w:r>
          </w:p>
        </w:tc>
        <w:tc>
          <w:tcPr>
            <w:tcW w:w="957" w:type="dxa"/>
            <w:tcBorders>
              <w:top w:val="single" w:sz="4" w:space="0" w:color="auto"/>
            </w:tcBorders>
            <w:tcMar>
              <w:top w:w="28" w:type="dxa"/>
              <w:bottom w:w="28" w:type="dxa"/>
            </w:tcMar>
            <w:vAlign w:val="center"/>
          </w:tcPr>
          <w:p w:rsidR="00DB7934" w:rsidRPr="0032541C" w:rsidRDefault="00DB7934" w:rsidP="00384E88">
            <w:pPr>
              <w:spacing w:after="120"/>
              <w:jc w:val="center"/>
            </w:pPr>
            <w:r>
              <w:t>0,089</w:t>
            </w:r>
          </w:p>
        </w:tc>
        <w:tc>
          <w:tcPr>
            <w:tcW w:w="1169" w:type="dxa"/>
            <w:tcBorders>
              <w:top w:val="single" w:sz="4" w:space="0" w:color="auto"/>
            </w:tcBorders>
            <w:tcMar>
              <w:top w:w="28" w:type="dxa"/>
              <w:bottom w:w="28" w:type="dxa"/>
            </w:tcMar>
            <w:vAlign w:val="center"/>
          </w:tcPr>
          <w:p w:rsidR="00DB7934" w:rsidRPr="0032541C" w:rsidRDefault="00DB7934" w:rsidP="00384E88">
            <w:pPr>
              <w:spacing w:after="120"/>
              <w:jc w:val="center"/>
            </w:pPr>
            <w:r>
              <w:t>0,039</w:t>
            </w:r>
          </w:p>
        </w:tc>
        <w:tc>
          <w:tcPr>
            <w:tcW w:w="1382" w:type="dxa"/>
            <w:tcBorders>
              <w:top w:val="single" w:sz="4" w:space="0" w:color="auto"/>
            </w:tcBorders>
            <w:tcMar>
              <w:top w:w="28" w:type="dxa"/>
              <w:bottom w:w="28" w:type="dxa"/>
            </w:tcMar>
          </w:tcPr>
          <w:p w:rsidR="00DB7934" w:rsidRPr="0032541C" w:rsidRDefault="00DB7934" w:rsidP="00384E88">
            <w:pPr>
              <w:jc w:val="center"/>
            </w:pPr>
            <w:r>
              <w:t>0,87</w:t>
            </w:r>
          </w:p>
        </w:tc>
        <w:tc>
          <w:tcPr>
            <w:tcW w:w="1027" w:type="dxa"/>
            <w:tcBorders>
              <w:top w:val="single" w:sz="4" w:space="0" w:color="auto"/>
            </w:tcBorders>
            <w:tcMar>
              <w:top w:w="28" w:type="dxa"/>
              <w:bottom w:w="28" w:type="dxa"/>
            </w:tcMar>
          </w:tcPr>
          <w:p w:rsidR="00DB7934" w:rsidRPr="0032541C" w:rsidRDefault="00DB7934" w:rsidP="00384E88">
            <w:pPr>
              <w:jc w:val="center"/>
            </w:pPr>
            <w:r>
              <w:t>0,0056</w:t>
            </w:r>
          </w:p>
        </w:tc>
        <w:tc>
          <w:tcPr>
            <w:tcW w:w="1383" w:type="dxa"/>
            <w:tcBorders>
              <w:top w:val="single" w:sz="4" w:space="0" w:color="auto"/>
            </w:tcBorders>
            <w:tcMar>
              <w:top w:w="28" w:type="dxa"/>
              <w:bottom w:w="28" w:type="dxa"/>
            </w:tcMar>
          </w:tcPr>
          <w:p w:rsidR="00DB7934" w:rsidRPr="0032541C" w:rsidRDefault="00DB7934" w:rsidP="00384E88">
            <w:pPr>
              <w:jc w:val="center"/>
            </w:pPr>
            <w:r>
              <w:t>0,0049</w:t>
            </w:r>
          </w:p>
        </w:tc>
        <w:tc>
          <w:tcPr>
            <w:tcW w:w="2125" w:type="dxa"/>
            <w:tcBorders>
              <w:top w:val="single" w:sz="4" w:space="0" w:color="auto"/>
            </w:tcBorders>
          </w:tcPr>
          <w:p w:rsidR="00DB7934" w:rsidRDefault="00DB7934" w:rsidP="00384E88">
            <w:pPr>
              <w:jc w:val="center"/>
            </w:pPr>
            <w:r>
              <w:t>59</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0,088</w:t>
            </w:r>
          </w:p>
        </w:tc>
        <w:tc>
          <w:tcPr>
            <w:tcW w:w="1169" w:type="dxa"/>
            <w:tcMar>
              <w:top w:w="28" w:type="dxa"/>
              <w:bottom w:w="28" w:type="dxa"/>
            </w:tcMar>
            <w:vAlign w:val="center"/>
          </w:tcPr>
          <w:p w:rsidR="00DB7934" w:rsidRPr="0032541C" w:rsidRDefault="00DB7934" w:rsidP="00384E88">
            <w:pPr>
              <w:spacing w:after="120"/>
              <w:jc w:val="center"/>
            </w:pPr>
            <w:r>
              <w:t>0,038</w:t>
            </w:r>
          </w:p>
        </w:tc>
        <w:tc>
          <w:tcPr>
            <w:tcW w:w="1382" w:type="dxa"/>
            <w:tcMar>
              <w:top w:w="28" w:type="dxa"/>
              <w:bottom w:w="28" w:type="dxa"/>
            </w:tcMar>
          </w:tcPr>
          <w:p w:rsidR="00DB7934" w:rsidRPr="0032541C" w:rsidRDefault="00DB7934" w:rsidP="00384E88">
            <w:pPr>
              <w:jc w:val="center"/>
            </w:pPr>
            <w:r>
              <w:t>0,86</w:t>
            </w:r>
          </w:p>
        </w:tc>
        <w:tc>
          <w:tcPr>
            <w:tcW w:w="1027" w:type="dxa"/>
            <w:tcMar>
              <w:top w:w="28" w:type="dxa"/>
              <w:bottom w:w="28" w:type="dxa"/>
            </w:tcMar>
          </w:tcPr>
          <w:p w:rsidR="00DB7934" w:rsidRPr="0032541C" w:rsidRDefault="00DB7934" w:rsidP="00384E88">
            <w:pPr>
              <w:jc w:val="center"/>
            </w:pPr>
            <w:r>
              <w:t>0,0065</w:t>
            </w:r>
          </w:p>
        </w:tc>
        <w:tc>
          <w:tcPr>
            <w:tcW w:w="1383" w:type="dxa"/>
            <w:tcMar>
              <w:top w:w="28" w:type="dxa"/>
              <w:bottom w:w="28" w:type="dxa"/>
            </w:tcMar>
          </w:tcPr>
          <w:p w:rsidR="00DB7934" w:rsidRPr="0032541C" w:rsidRDefault="00DB7934" w:rsidP="00384E88">
            <w:pPr>
              <w:jc w:val="center"/>
            </w:pPr>
            <w:r>
              <w:t>0,0056</w:t>
            </w:r>
          </w:p>
        </w:tc>
        <w:tc>
          <w:tcPr>
            <w:tcW w:w="2125" w:type="dxa"/>
          </w:tcPr>
          <w:p w:rsidR="00DB7934" w:rsidRDefault="00DB7934" w:rsidP="00384E88">
            <w:pPr>
              <w:jc w:val="center"/>
            </w:pPr>
            <w:r>
              <w:t>77</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0,089</w:t>
            </w:r>
          </w:p>
        </w:tc>
        <w:tc>
          <w:tcPr>
            <w:tcW w:w="1169" w:type="dxa"/>
            <w:tcMar>
              <w:top w:w="28" w:type="dxa"/>
              <w:bottom w:w="28" w:type="dxa"/>
            </w:tcMar>
            <w:vAlign w:val="center"/>
          </w:tcPr>
          <w:p w:rsidR="00DB7934" w:rsidRPr="0032541C" w:rsidRDefault="00DB7934" w:rsidP="00384E88">
            <w:pPr>
              <w:spacing w:after="120"/>
              <w:jc w:val="center"/>
            </w:pPr>
            <w:r>
              <w:t>0,039</w:t>
            </w:r>
          </w:p>
        </w:tc>
        <w:tc>
          <w:tcPr>
            <w:tcW w:w="1382" w:type="dxa"/>
            <w:tcMar>
              <w:top w:w="28" w:type="dxa"/>
              <w:bottom w:w="28" w:type="dxa"/>
            </w:tcMar>
          </w:tcPr>
          <w:p w:rsidR="00DB7934" w:rsidRPr="0032541C" w:rsidRDefault="00DB7934" w:rsidP="00384E88">
            <w:pPr>
              <w:jc w:val="center"/>
            </w:pPr>
            <w:r>
              <w:t>0,87</w:t>
            </w:r>
          </w:p>
        </w:tc>
        <w:tc>
          <w:tcPr>
            <w:tcW w:w="1027" w:type="dxa"/>
            <w:tcMar>
              <w:top w:w="28" w:type="dxa"/>
              <w:bottom w:w="28" w:type="dxa"/>
            </w:tcMar>
          </w:tcPr>
          <w:p w:rsidR="00DB7934" w:rsidRPr="0032541C" w:rsidRDefault="00DB7934" w:rsidP="00384E88">
            <w:pPr>
              <w:jc w:val="center"/>
            </w:pPr>
            <w:r>
              <w:t>0,0059</w:t>
            </w:r>
          </w:p>
        </w:tc>
        <w:tc>
          <w:tcPr>
            <w:tcW w:w="1383" w:type="dxa"/>
            <w:tcMar>
              <w:top w:w="28" w:type="dxa"/>
              <w:bottom w:w="28" w:type="dxa"/>
            </w:tcMar>
          </w:tcPr>
          <w:p w:rsidR="00DB7934" w:rsidRPr="0032541C" w:rsidRDefault="00DB7934" w:rsidP="00384E88">
            <w:pPr>
              <w:jc w:val="center"/>
            </w:pPr>
            <w:r>
              <w:t>0,0052</w:t>
            </w:r>
          </w:p>
        </w:tc>
        <w:tc>
          <w:tcPr>
            <w:tcW w:w="2125" w:type="dxa"/>
          </w:tcPr>
          <w:p w:rsidR="00DB7934" w:rsidRDefault="00DB7934" w:rsidP="00384E88">
            <w:pPr>
              <w:jc w:val="center"/>
            </w:pPr>
            <w:r>
              <w:t>65</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0,087</w:t>
            </w:r>
          </w:p>
        </w:tc>
        <w:tc>
          <w:tcPr>
            <w:tcW w:w="1169" w:type="dxa"/>
            <w:tcMar>
              <w:top w:w="28" w:type="dxa"/>
              <w:bottom w:w="28" w:type="dxa"/>
            </w:tcMar>
            <w:vAlign w:val="center"/>
          </w:tcPr>
          <w:p w:rsidR="00DB7934" w:rsidRPr="0032541C" w:rsidRDefault="00DB7934" w:rsidP="00384E88">
            <w:pPr>
              <w:spacing w:after="120"/>
              <w:jc w:val="center"/>
            </w:pPr>
            <w:r>
              <w:t>0,037</w:t>
            </w:r>
          </w:p>
        </w:tc>
        <w:tc>
          <w:tcPr>
            <w:tcW w:w="1382" w:type="dxa"/>
            <w:tcMar>
              <w:top w:w="28" w:type="dxa"/>
              <w:bottom w:w="28" w:type="dxa"/>
            </w:tcMar>
          </w:tcPr>
          <w:p w:rsidR="00DB7934" w:rsidRPr="0032541C" w:rsidRDefault="00DB7934" w:rsidP="00384E88">
            <w:pPr>
              <w:jc w:val="center"/>
            </w:pPr>
            <w:r>
              <w:t>0,85</w:t>
            </w:r>
          </w:p>
        </w:tc>
        <w:tc>
          <w:tcPr>
            <w:tcW w:w="1027" w:type="dxa"/>
            <w:tcMar>
              <w:top w:w="28" w:type="dxa"/>
              <w:bottom w:w="28" w:type="dxa"/>
            </w:tcMar>
          </w:tcPr>
          <w:p w:rsidR="00DB7934" w:rsidRPr="0032541C" w:rsidRDefault="00DB7934" w:rsidP="00384E88">
            <w:pPr>
              <w:jc w:val="center"/>
            </w:pPr>
            <w:r>
              <w:t>0,0065</w:t>
            </w:r>
          </w:p>
        </w:tc>
        <w:tc>
          <w:tcPr>
            <w:tcW w:w="1383" w:type="dxa"/>
            <w:tcMar>
              <w:top w:w="28" w:type="dxa"/>
              <w:bottom w:w="28" w:type="dxa"/>
            </w:tcMar>
          </w:tcPr>
          <w:p w:rsidR="00DB7934" w:rsidRPr="0032541C" w:rsidRDefault="00DB7934" w:rsidP="00384E88">
            <w:pPr>
              <w:jc w:val="center"/>
            </w:pPr>
            <w:r>
              <w:t>0,0055</w:t>
            </w:r>
          </w:p>
        </w:tc>
        <w:tc>
          <w:tcPr>
            <w:tcW w:w="2125" w:type="dxa"/>
          </w:tcPr>
          <w:p w:rsidR="00DB7934" w:rsidRDefault="00DB7934" w:rsidP="00384E88">
            <w:pPr>
              <w:jc w:val="center"/>
            </w:pPr>
            <w:r>
              <w:t>76</w:t>
            </w:r>
          </w:p>
        </w:tc>
      </w:tr>
      <w:tr w:rsidR="00DB7934" w:rsidRPr="0032541C" w:rsidTr="00384E88">
        <w:trPr>
          <w:jc w:val="center"/>
        </w:trPr>
        <w:tc>
          <w:tcPr>
            <w:tcW w:w="1029" w:type="dxa"/>
            <w:tcBorders>
              <w:bottom w:val="single" w:sz="4" w:space="0" w:color="auto"/>
            </w:tcBorders>
          </w:tcPr>
          <w:p w:rsidR="00DB7934" w:rsidRDefault="00DB7934" w:rsidP="00384E88">
            <w:pPr>
              <w:spacing w:after="120"/>
              <w:jc w:val="center"/>
            </w:pPr>
          </w:p>
        </w:tc>
        <w:tc>
          <w:tcPr>
            <w:tcW w:w="957" w:type="dxa"/>
            <w:tcBorders>
              <w:bottom w:val="single" w:sz="4" w:space="0" w:color="auto"/>
            </w:tcBorders>
            <w:tcMar>
              <w:top w:w="28" w:type="dxa"/>
              <w:bottom w:w="28" w:type="dxa"/>
            </w:tcMar>
            <w:vAlign w:val="center"/>
          </w:tcPr>
          <w:p w:rsidR="00DB7934" w:rsidRPr="0032541C" w:rsidRDefault="00DB7934" w:rsidP="00384E88">
            <w:pPr>
              <w:spacing w:after="120"/>
              <w:jc w:val="center"/>
            </w:pPr>
            <w:r>
              <w:t>0,089</w:t>
            </w:r>
          </w:p>
        </w:tc>
        <w:tc>
          <w:tcPr>
            <w:tcW w:w="1169" w:type="dxa"/>
            <w:tcBorders>
              <w:bottom w:val="single" w:sz="4" w:space="0" w:color="auto"/>
            </w:tcBorders>
            <w:tcMar>
              <w:top w:w="28" w:type="dxa"/>
              <w:bottom w:w="28" w:type="dxa"/>
            </w:tcMar>
            <w:vAlign w:val="center"/>
          </w:tcPr>
          <w:p w:rsidR="00DB7934" w:rsidRPr="0032541C" w:rsidRDefault="00DB7934" w:rsidP="00384E88">
            <w:pPr>
              <w:spacing w:after="120"/>
              <w:jc w:val="center"/>
            </w:pPr>
            <w:r>
              <w:t>0,039</w:t>
            </w:r>
          </w:p>
        </w:tc>
        <w:tc>
          <w:tcPr>
            <w:tcW w:w="1382" w:type="dxa"/>
            <w:tcBorders>
              <w:bottom w:val="single" w:sz="4" w:space="0" w:color="auto"/>
            </w:tcBorders>
            <w:tcMar>
              <w:top w:w="28" w:type="dxa"/>
              <w:bottom w:w="28" w:type="dxa"/>
            </w:tcMar>
          </w:tcPr>
          <w:p w:rsidR="00DB7934" w:rsidRPr="0032541C" w:rsidRDefault="00DB7934" w:rsidP="00384E88">
            <w:pPr>
              <w:jc w:val="center"/>
            </w:pPr>
            <w:r>
              <w:t>0,87</w:t>
            </w:r>
          </w:p>
        </w:tc>
        <w:tc>
          <w:tcPr>
            <w:tcW w:w="1027" w:type="dxa"/>
            <w:tcBorders>
              <w:bottom w:val="single" w:sz="4" w:space="0" w:color="auto"/>
            </w:tcBorders>
            <w:tcMar>
              <w:top w:w="28" w:type="dxa"/>
              <w:bottom w:w="28" w:type="dxa"/>
            </w:tcMar>
          </w:tcPr>
          <w:p w:rsidR="00DB7934" w:rsidRPr="0032541C" w:rsidRDefault="00DB7934" w:rsidP="00384E88">
            <w:pPr>
              <w:jc w:val="center"/>
            </w:pPr>
            <w:r>
              <w:t>0,0067</w:t>
            </w:r>
          </w:p>
        </w:tc>
        <w:tc>
          <w:tcPr>
            <w:tcW w:w="1383" w:type="dxa"/>
            <w:tcBorders>
              <w:bottom w:val="single" w:sz="4" w:space="0" w:color="auto"/>
            </w:tcBorders>
            <w:tcMar>
              <w:top w:w="28" w:type="dxa"/>
              <w:bottom w:w="28" w:type="dxa"/>
            </w:tcMar>
          </w:tcPr>
          <w:p w:rsidR="00DB7934" w:rsidRPr="0032541C" w:rsidRDefault="00DB7934" w:rsidP="00384E88">
            <w:pPr>
              <w:jc w:val="center"/>
            </w:pPr>
            <w:r>
              <w:t>0,0058</w:t>
            </w:r>
          </w:p>
        </w:tc>
        <w:tc>
          <w:tcPr>
            <w:tcW w:w="2125" w:type="dxa"/>
            <w:tcBorders>
              <w:bottom w:val="single" w:sz="4" w:space="0" w:color="auto"/>
            </w:tcBorders>
          </w:tcPr>
          <w:p w:rsidR="00DB7934" w:rsidRDefault="00DB7934" w:rsidP="00384E88">
            <w:pPr>
              <w:jc w:val="center"/>
            </w:pPr>
            <w:r>
              <w:t>84</w:t>
            </w:r>
          </w:p>
        </w:tc>
      </w:tr>
      <w:tr w:rsidR="00DB7934" w:rsidRPr="0032541C" w:rsidTr="00384E88">
        <w:trPr>
          <w:jc w:val="center"/>
        </w:trPr>
        <w:tc>
          <w:tcPr>
            <w:tcW w:w="1029" w:type="dxa"/>
            <w:tcBorders>
              <w:top w:val="single" w:sz="4" w:space="0" w:color="auto"/>
            </w:tcBorders>
            <w:tcMar>
              <w:top w:w="57" w:type="dxa"/>
            </w:tcMar>
          </w:tcPr>
          <w:p w:rsidR="00DB7934" w:rsidRDefault="00DB7934" w:rsidP="00384E88">
            <w:pPr>
              <w:spacing w:after="120"/>
              <w:jc w:val="center"/>
            </w:pPr>
            <w:r>
              <w:t>líh</w:t>
            </w:r>
          </w:p>
        </w:tc>
        <w:tc>
          <w:tcPr>
            <w:tcW w:w="957" w:type="dxa"/>
            <w:tcBorders>
              <w:top w:val="single" w:sz="4" w:space="0" w:color="auto"/>
            </w:tcBorders>
            <w:tcMar>
              <w:top w:w="57" w:type="dxa"/>
              <w:bottom w:w="28" w:type="dxa"/>
            </w:tcMar>
            <w:vAlign w:val="center"/>
          </w:tcPr>
          <w:p w:rsidR="00DB7934" w:rsidRPr="0032541C" w:rsidRDefault="00DB7934" w:rsidP="00384E88">
            <w:pPr>
              <w:spacing w:after="120"/>
              <w:jc w:val="center"/>
            </w:pPr>
            <w:r>
              <w:t>0,088</w:t>
            </w:r>
          </w:p>
        </w:tc>
        <w:tc>
          <w:tcPr>
            <w:tcW w:w="1169" w:type="dxa"/>
            <w:tcBorders>
              <w:top w:val="single" w:sz="4" w:space="0" w:color="auto"/>
            </w:tcBorders>
            <w:tcMar>
              <w:top w:w="57" w:type="dxa"/>
              <w:bottom w:w="28" w:type="dxa"/>
            </w:tcMar>
            <w:vAlign w:val="center"/>
          </w:tcPr>
          <w:p w:rsidR="00DB7934" w:rsidRPr="0032541C" w:rsidRDefault="00DB7934" w:rsidP="00384E88">
            <w:pPr>
              <w:spacing w:after="120"/>
              <w:jc w:val="center"/>
            </w:pPr>
            <w:r>
              <w:t>0,038</w:t>
            </w:r>
          </w:p>
        </w:tc>
        <w:tc>
          <w:tcPr>
            <w:tcW w:w="1382" w:type="dxa"/>
            <w:tcBorders>
              <w:top w:val="single" w:sz="4" w:space="0" w:color="auto"/>
            </w:tcBorders>
            <w:tcMar>
              <w:top w:w="57" w:type="dxa"/>
              <w:bottom w:w="28" w:type="dxa"/>
            </w:tcMar>
          </w:tcPr>
          <w:p w:rsidR="00DB7934" w:rsidRPr="0032541C" w:rsidRDefault="00DB7934" w:rsidP="00384E88">
            <w:pPr>
              <w:jc w:val="center"/>
            </w:pPr>
            <w:r>
              <w:t>0,86</w:t>
            </w:r>
          </w:p>
        </w:tc>
        <w:tc>
          <w:tcPr>
            <w:tcW w:w="1027" w:type="dxa"/>
            <w:tcBorders>
              <w:top w:val="single" w:sz="4" w:space="0" w:color="auto"/>
            </w:tcBorders>
            <w:tcMar>
              <w:top w:w="57" w:type="dxa"/>
              <w:bottom w:w="28" w:type="dxa"/>
            </w:tcMar>
          </w:tcPr>
          <w:p w:rsidR="00DB7934" w:rsidRPr="0032541C" w:rsidRDefault="00DB7934" w:rsidP="00384E88">
            <w:pPr>
              <w:jc w:val="center"/>
            </w:pPr>
            <w:r>
              <w:t>0,00345</w:t>
            </w:r>
          </w:p>
        </w:tc>
        <w:tc>
          <w:tcPr>
            <w:tcW w:w="1383" w:type="dxa"/>
            <w:tcBorders>
              <w:top w:val="single" w:sz="4" w:space="0" w:color="auto"/>
            </w:tcBorders>
            <w:tcMar>
              <w:top w:w="57" w:type="dxa"/>
              <w:bottom w:w="28" w:type="dxa"/>
            </w:tcMar>
          </w:tcPr>
          <w:p w:rsidR="00DB7934" w:rsidRPr="0032541C" w:rsidRDefault="00DB7934" w:rsidP="00384E88">
            <w:pPr>
              <w:jc w:val="center"/>
            </w:pPr>
            <w:r>
              <w:t>0,0030</w:t>
            </w:r>
          </w:p>
        </w:tc>
        <w:tc>
          <w:tcPr>
            <w:tcW w:w="2125" w:type="dxa"/>
            <w:tcBorders>
              <w:top w:val="single" w:sz="4" w:space="0" w:color="auto"/>
            </w:tcBorders>
            <w:tcMar>
              <w:top w:w="57" w:type="dxa"/>
            </w:tcMar>
          </w:tcPr>
          <w:p w:rsidR="00DB7934" w:rsidRDefault="00DB7934" w:rsidP="00384E88">
            <w:pPr>
              <w:jc w:val="center"/>
            </w:pPr>
            <w:r>
              <w:t>22</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0,089</w:t>
            </w:r>
          </w:p>
        </w:tc>
        <w:tc>
          <w:tcPr>
            <w:tcW w:w="1169" w:type="dxa"/>
            <w:tcMar>
              <w:top w:w="28" w:type="dxa"/>
              <w:bottom w:w="28" w:type="dxa"/>
            </w:tcMar>
            <w:vAlign w:val="center"/>
          </w:tcPr>
          <w:p w:rsidR="00DB7934" w:rsidRPr="0032541C" w:rsidRDefault="00DB7934" w:rsidP="00384E88">
            <w:pPr>
              <w:spacing w:after="120"/>
              <w:jc w:val="center"/>
            </w:pPr>
            <w:r>
              <w:t>0,039</w:t>
            </w:r>
          </w:p>
        </w:tc>
        <w:tc>
          <w:tcPr>
            <w:tcW w:w="1382" w:type="dxa"/>
            <w:tcMar>
              <w:top w:w="28" w:type="dxa"/>
              <w:bottom w:w="28" w:type="dxa"/>
            </w:tcMar>
          </w:tcPr>
          <w:p w:rsidR="00DB7934" w:rsidRPr="0032541C" w:rsidRDefault="00DB7934" w:rsidP="00384E88">
            <w:pPr>
              <w:jc w:val="center"/>
            </w:pPr>
            <w:r>
              <w:t>0,87</w:t>
            </w:r>
          </w:p>
        </w:tc>
        <w:tc>
          <w:tcPr>
            <w:tcW w:w="1027" w:type="dxa"/>
            <w:tcMar>
              <w:top w:w="28" w:type="dxa"/>
              <w:bottom w:w="28" w:type="dxa"/>
            </w:tcMar>
          </w:tcPr>
          <w:p w:rsidR="00DB7934" w:rsidRPr="0032541C" w:rsidRDefault="00DB7934" w:rsidP="00384E88">
            <w:pPr>
              <w:jc w:val="center"/>
            </w:pPr>
            <w:r>
              <w:t>0,00300</w:t>
            </w:r>
          </w:p>
        </w:tc>
        <w:tc>
          <w:tcPr>
            <w:tcW w:w="1383" w:type="dxa"/>
            <w:tcMar>
              <w:top w:w="28" w:type="dxa"/>
              <w:bottom w:w="28" w:type="dxa"/>
            </w:tcMar>
          </w:tcPr>
          <w:p w:rsidR="00DB7934" w:rsidRPr="0032541C" w:rsidRDefault="00DB7934" w:rsidP="00384E88">
            <w:pPr>
              <w:jc w:val="center"/>
            </w:pPr>
            <w:r>
              <w:t>0,0026</w:t>
            </w:r>
          </w:p>
        </w:tc>
        <w:tc>
          <w:tcPr>
            <w:tcW w:w="2125" w:type="dxa"/>
          </w:tcPr>
          <w:p w:rsidR="00DB7934" w:rsidRDefault="00DB7934" w:rsidP="00384E88">
            <w:pPr>
              <w:jc w:val="center"/>
            </w:pPr>
            <w:r>
              <w:t>17</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0,089</w:t>
            </w:r>
          </w:p>
        </w:tc>
        <w:tc>
          <w:tcPr>
            <w:tcW w:w="1169" w:type="dxa"/>
            <w:tcMar>
              <w:top w:w="28" w:type="dxa"/>
              <w:bottom w:w="28" w:type="dxa"/>
            </w:tcMar>
            <w:vAlign w:val="center"/>
          </w:tcPr>
          <w:p w:rsidR="00DB7934" w:rsidRPr="0032541C" w:rsidRDefault="00DB7934" w:rsidP="00384E88">
            <w:pPr>
              <w:spacing w:after="120"/>
              <w:jc w:val="center"/>
            </w:pPr>
            <w:r>
              <w:t>0,039</w:t>
            </w:r>
          </w:p>
        </w:tc>
        <w:tc>
          <w:tcPr>
            <w:tcW w:w="1382" w:type="dxa"/>
            <w:tcMar>
              <w:top w:w="28" w:type="dxa"/>
              <w:bottom w:w="28" w:type="dxa"/>
            </w:tcMar>
          </w:tcPr>
          <w:p w:rsidR="00DB7934" w:rsidRPr="0032541C" w:rsidRDefault="00DB7934" w:rsidP="00384E88">
            <w:pPr>
              <w:jc w:val="center"/>
            </w:pPr>
            <w:r>
              <w:t>0,87</w:t>
            </w:r>
          </w:p>
        </w:tc>
        <w:tc>
          <w:tcPr>
            <w:tcW w:w="1027" w:type="dxa"/>
            <w:tcMar>
              <w:top w:w="28" w:type="dxa"/>
              <w:bottom w:w="28" w:type="dxa"/>
            </w:tcMar>
          </w:tcPr>
          <w:p w:rsidR="00DB7934" w:rsidRPr="0032541C" w:rsidRDefault="00DB7934" w:rsidP="00384E88">
            <w:pPr>
              <w:jc w:val="center"/>
            </w:pPr>
            <w:r>
              <w:t>0,00358</w:t>
            </w:r>
          </w:p>
        </w:tc>
        <w:tc>
          <w:tcPr>
            <w:tcW w:w="1383" w:type="dxa"/>
            <w:tcMar>
              <w:top w:w="28" w:type="dxa"/>
              <w:bottom w:w="28" w:type="dxa"/>
            </w:tcMar>
          </w:tcPr>
          <w:p w:rsidR="00DB7934" w:rsidRPr="0032541C" w:rsidRDefault="00DB7934" w:rsidP="00384E88">
            <w:pPr>
              <w:jc w:val="center"/>
            </w:pPr>
            <w:r>
              <w:t>0,0031</w:t>
            </w:r>
          </w:p>
        </w:tc>
        <w:tc>
          <w:tcPr>
            <w:tcW w:w="2125" w:type="dxa"/>
          </w:tcPr>
          <w:p w:rsidR="00DB7934" w:rsidRDefault="00DB7934" w:rsidP="00384E88">
            <w:pPr>
              <w:jc w:val="center"/>
            </w:pPr>
            <w:r>
              <w:t>24</w:t>
            </w:r>
          </w:p>
        </w:tc>
      </w:tr>
      <w:tr w:rsidR="00DB7934" w:rsidRPr="0032541C" w:rsidTr="00384E88">
        <w:trPr>
          <w:jc w:val="center"/>
        </w:trPr>
        <w:tc>
          <w:tcPr>
            <w:tcW w:w="1029" w:type="dxa"/>
          </w:tcPr>
          <w:p w:rsidR="00DB7934" w:rsidRDefault="00DB7934" w:rsidP="00384E88">
            <w:pPr>
              <w:spacing w:after="120"/>
              <w:jc w:val="center"/>
            </w:pPr>
          </w:p>
        </w:tc>
        <w:tc>
          <w:tcPr>
            <w:tcW w:w="957" w:type="dxa"/>
            <w:tcMar>
              <w:top w:w="28" w:type="dxa"/>
              <w:bottom w:w="28" w:type="dxa"/>
            </w:tcMar>
            <w:vAlign w:val="center"/>
          </w:tcPr>
          <w:p w:rsidR="00DB7934" w:rsidRPr="0032541C" w:rsidRDefault="00DB7934" w:rsidP="00384E88">
            <w:pPr>
              <w:spacing w:after="120"/>
              <w:jc w:val="center"/>
            </w:pPr>
            <w:r>
              <w:t>0,087</w:t>
            </w:r>
          </w:p>
        </w:tc>
        <w:tc>
          <w:tcPr>
            <w:tcW w:w="1169" w:type="dxa"/>
            <w:tcMar>
              <w:top w:w="28" w:type="dxa"/>
              <w:bottom w:w="28" w:type="dxa"/>
            </w:tcMar>
            <w:vAlign w:val="center"/>
          </w:tcPr>
          <w:p w:rsidR="00DB7934" w:rsidRPr="0032541C" w:rsidRDefault="00DB7934" w:rsidP="00384E88">
            <w:pPr>
              <w:spacing w:after="120"/>
              <w:jc w:val="center"/>
            </w:pPr>
            <w:r>
              <w:t>0,037</w:t>
            </w:r>
          </w:p>
        </w:tc>
        <w:tc>
          <w:tcPr>
            <w:tcW w:w="1382" w:type="dxa"/>
            <w:tcMar>
              <w:top w:w="28" w:type="dxa"/>
              <w:bottom w:w="28" w:type="dxa"/>
            </w:tcMar>
          </w:tcPr>
          <w:p w:rsidR="00DB7934" w:rsidRPr="0032541C" w:rsidRDefault="00DB7934" w:rsidP="00384E88">
            <w:pPr>
              <w:jc w:val="center"/>
            </w:pPr>
            <w:r>
              <w:t xml:space="preserve"> 0,85</w:t>
            </w:r>
          </w:p>
        </w:tc>
        <w:tc>
          <w:tcPr>
            <w:tcW w:w="1027" w:type="dxa"/>
            <w:tcMar>
              <w:top w:w="28" w:type="dxa"/>
              <w:bottom w:w="28" w:type="dxa"/>
            </w:tcMar>
          </w:tcPr>
          <w:p w:rsidR="00DB7934" w:rsidRPr="0032541C" w:rsidRDefault="00DB7934" w:rsidP="00384E88">
            <w:pPr>
              <w:jc w:val="center"/>
            </w:pPr>
            <w:r>
              <w:t>0,00355</w:t>
            </w:r>
          </w:p>
        </w:tc>
        <w:tc>
          <w:tcPr>
            <w:tcW w:w="1383" w:type="dxa"/>
            <w:tcMar>
              <w:top w:w="28" w:type="dxa"/>
              <w:bottom w:w="28" w:type="dxa"/>
            </w:tcMar>
          </w:tcPr>
          <w:p w:rsidR="00DB7934" w:rsidRPr="0032541C" w:rsidRDefault="00DB7934" w:rsidP="00384E88">
            <w:pPr>
              <w:jc w:val="center"/>
            </w:pPr>
            <w:r>
              <w:t>0,0030</w:t>
            </w:r>
          </w:p>
        </w:tc>
        <w:tc>
          <w:tcPr>
            <w:tcW w:w="2125" w:type="dxa"/>
          </w:tcPr>
          <w:p w:rsidR="00DB7934" w:rsidRDefault="00DB7934" w:rsidP="00384E88">
            <w:pPr>
              <w:jc w:val="center"/>
            </w:pPr>
            <w:r>
              <w:t>23</w:t>
            </w:r>
          </w:p>
        </w:tc>
      </w:tr>
      <w:tr w:rsidR="00DB7934" w:rsidRPr="0032541C" w:rsidTr="00384E88">
        <w:trPr>
          <w:jc w:val="center"/>
        </w:trPr>
        <w:tc>
          <w:tcPr>
            <w:tcW w:w="1029" w:type="dxa"/>
            <w:tcBorders>
              <w:bottom w:val="single" w:sz="4" w:space="0" w:color="auto"/>
            </w:tcBorders>
          </w:tcPr>
          <w:p w:rsidR="00DB7934" w:rsidRDefault="00DB7934" w:rsidP="00384E88">
            <w:pPr>
              <w:spacing w:after="120"/>
              <w:jc w:val="center"/>
            </w:pPr>
          </w:p>
        </w:tc>
        <w:tc>
          <w:tcPr>
            <w:tcW w:w="957" w:type="dxa"/>
            <w:tcBorders>
              <w:bottom w:val="single" w:sz="4" w:space="0" w:color="auto"/>
            </w:tcBorders>
            <w:tcMar>
              <w:top w:w="28" w:type="dxa"/>
              <w:bottom w:w="28" w:type="dxa"/>
            </w:tcMar>
            <w:vAlign w:val="center"/>
          </w:tcPr>
          <w:p w:rsidR="00DB7934" w:rsidRPr="0032541C" w:rsidRDefault="00DB7934" w:rsidP="00384E88">
            <w:pPr>
              <w:spacing w:after="120"/>
              <w:jc w:val="center"/>
            </w:pPr>
            <w:r>
              <w:t>0,088</w:t>
            </w:r>
          </w:p>
        </w:tc>
        <w:tc>
          <w:tcPr>
            <w:tcW w:w="1169" w:type="dxa"/>
            <w:tcBorders>
              <w:bottom w:val="single" w:sz="4" w:space="0" w:color="auto"/>
            </w:tcBorders>
            <w:tcMar>
              <w:top w:w="28" w:type="dxa"/>
              <w:bottom w:w="28" w:type="dxa"/>
            </w:tcMar>
            <w:vAlign w:val="center"/>
          </w:tcPr>
          <w:p w:rsidR="00DB7934" w:rsidRPr="0032541C" w:rsidRDefault="00DB7934" w:rsidP="00384E88">
            <w:pPr>
              <w:spacing w:after="120"/>
              <w:jc w:val="center"/>
            </w:pPr>
            <w:r>
              <w:t>0,038</w:t>
            </w:r>
          </w:p>
        </w:tc>
        <w:tc>
          <w:tcPr>
            <w:tcW w:w="1382" w:type="dxa"/>
            <w:tcBorders>
              <w:bottom w:val="single" w:sz="4" w:space="0" w:color="auto"/>
            </w:tcBorders>
            <w:tcMar>
              <w:top w:w="28" w:type="dxa"/>
              <w:bottom w:w="28" w:type="dxa"/>
            </w:tcMar>
          </w:tcPr>
          <w:p w:rsidR="00DB7934" w:rsidRPr="0032541C" w:rsidRDefault="00DB7934" w:rsidP="00384E88">
            <w:pPr>
              <w:jc w:val="center"/>
            </w:pPr>
            <w:r>
              <w:t>0,86</w:t>
            </w:r>
          </w:p>
        </w:tc>
        <w:tc>
          <w:tcPr>
            <w:tcW w:w="1027" w:type="dxa"/>
            <w:tcBorders>
              <w:bottom w:val="single" w:sz="4" w:space="0" w:color="auto"/>
            </w:tcBorders>
            <w:tcMar>
              <w:top w:w="28" w:type="dxa"/>
              <w:bottom w:w="28" w:type="dxa"/>
            </w:tcMar>
          </w:tcPr>
          <w:p w:rsidR="00DB7934" w:rsidRPr="0032541C" w:rsidRDefault="00DB7934" w:rsidP="00384E88">
            <w:pPr>
              <w:jc w:val="center"/>
            </w:pPr>
            <w:r>
              <w:t>0,00365</w:t>
            </w:r>
          </w:p>
        </w:tc>
        <w:tc>
          <w:tcPr>
            <w:tcW w:w="1383" w:type="dxa"/>
            <w:tcBorders>
              <w:bottom w:val="single" w:sz="4" w:space="0" w:color="auto"/>
            </w:tcBorders>
            <w:tcMar>
              <w:top w:w="28" w:type="dxa"/>
              <w:bottom w:w="28" w:type="dxa"/>
            </w:tcMar>
          </w:tcPr>
          <w:p w:rsidR="00DB7934" w:rsidRPr="0032541C" w:rsidRDefault="00DB7934" w:rsidP="00384E88">
            <w:pPr>
              <w:jc w:val="center"/>
            </w:pPr>
            <w:r>
              <w:t>0,0032</w:t>
            </w:r>
          </w:p>
        </w:tc>
        <w:tc>
          <w:tcPr>
            <w:tcW w:w="2125" w:type="dxa"/>
            <w:tcBorders>
              <w:bottom w:val="single" w:sz="4" w:space="0" w:color="auto"/>
            </w:tcBorders>
          </w:tcPr>
          <w:p w:rsidR="00DB7934" w:rsidRDefault="00DB7934" w:rsidP="00384E88">
            <w:pPr>
              <w:jc w:val="center"/>
            </w:pPr>
            <w:r>
              <w:t>24</w:t>
            </w:r>
          </w:p>
        </w:tc>
      </w:tr>
    </w:tbl>
    <w:p w:rsidR="00DB7934" w:rsidRDefault="00DB7934" w:rsidP="00DB7934">
      <w:pPr>
        <w:pStyle w:val="Bntextrga"/>
        <w:tabs>
          <w:tab w:val="left" w:pos="709"/>
        </w:tabs>
        <w:spacing w:line="360" w:lineRule="auto"/>
        <w:jc w:val="both"/>
        <w:rPr>
          <w:rFonts w:eastAsiaTheme="minorEastAsia"/>
          <w:szCs w:val="24"/>
        </w:rPr>
      </w:pPr>
    </w:p>
    <w:p w:rsidR="00DB7934" w:rsidRDefault="00DB7934" w:rsidP="00DB7934">
      <w:pPr>
        <w:pStyle w:val="Bntextrga"/>
        <w:spacing w:line="360" w:lineRule="auto"/>
        <w:jc w:val="both"/>
        <w:rPr>
          <w:rFonts w:eastAsiaTheme="minorEastAsia"/>
          <w:szCs w:val="24"/>
        </w:rPr>
      </w:pPr>
    </w:p>
    <w:p w:rsidR="00DB7934" w:rsidRPr="00D94587" w:rsidRDefault="00DB7934" w:rsidP="00DB7934">
      <w:pPr>
        <w:pStyle w:val="Bntextrga"/>
        <w:spacing w:line="360" w:lineRule="auto"/>
        <w:jc w:val="both"/>
        <w:rPr>
          <w:rFonts w:eastAsiaTheme="minorEastAsia"/>
          <w:szCs w:val="24"/>
        </w:rPr>
      </w:pPr>
      <w:r>
        <w:rPr>
          <w:rFonts w:eastAsiaTheme="minorEastAsia"/>
          <w:szCs w:val="24"/>
        </w:rPr>
        <w:lastRenderedPageBreak/>
        <w:t xml:space="preserve">Absolutní </w:t>
      </w:r>
      <w:r w:rsidR="00FC4D2A">
        <w:rPr>
          <w:rFonts w:eastAsiaTheme="minorEastAsia"/>
          <w:szCs w:val="24"/>
        </w:rPr>
        <w:t>nejistotu</w:t>
      </w:r>
      <w:r>
        <w:rPr>
          <w:rFonts w:eastAsiaTheme="minorEastAsia"/>
          <w:szCs w:val="24"/>
        </w:rPr>
        <w:t xml:space="preserve"> v určení povrchového napětí </w:t>
      </w:r>
      <m:oMath>
        <m:r>
          <w:rPr>
            <w:rFonts w:ascii="Cambria Math" w:eastAsiaTheme="minorEastAsia" w:hAnsi="Cambria Math"/>
            <w:szCs w:val="24"/>
          </w:rPr>
          <m:t>σ</m:t>
        </m:r>
      </m:oMath>
      <w:r w:rsidRPr="00C830E9">
        <w:rPr>
          <w:rFonts w:eastAsiaTheme="minorEastAsia"/>
          <w:szCs w:val="24"/>
        </w:rPr>
        <w:t xml:space="preserve"> </w:t>
      </w:r>
      <w:r>
        <w:rPr>
          <w:rFonts w:eastAsiaTheme="minorEastAsia"/>
          <w:szCs w:val="24"/>
        </w:rPr>
        <w:t>vypočítáme</w:t>
      </w:r>
      <w:r w:rsidRPr="00C830E9">
        <w:rPr>
          <w:rFonts w:eastAsiaTheme="minorEastAsia"/>
          <w:szCs w:val="24"/>
        </w:rPr>
        <w:t xml:space="preserve"> </w:t>
      </w:r>
      <w:r>
        <w:rPr>
          <w:rFonts w:eastAsiaTheme="minorEastAsia"/>
          <w:szCs w:val="24"/>
        </w:rPr>
        <w:t>pomocí analytických nástrojů MS Excel z upraveného vztahu (2.3.2</w:t>
      </w:r>
      <w:r w:rsidRPr="00C830E9">
        <w:rPr>
          <w:rFonts w:eastAsiaTheme="minorEastAsia"/>
          <w:szCs w:val="24"/>
        </w:rPr>
        <w:t>),</w:t>
      </w:r>
      <w:r>
        <w:rPr>
          <w:rFonts w:eastAsiaTheme="minorEastAsia"/>
          <w:szCs w:val="24"/>
        </w:rPr>
        <w:t xml:space="preserve"> který po dosazení příslušných výše uvedených vztahů za </w:t>
      </w:r>
      <w:r>
        <w:rPr>
          <w:rFonts w:eastAsiaTheme="minorEastAsia"/>
          <w:i/>
          <w:szCs w:val="24"/>
        </w:rPr>
        <w:t>H</w:t>
      </w:r>
      <w:r>
        <w:rPr>
          <w:rFonts w:eastAsiaTheme="minorEastAsia"/>
          <w:szCs w:val="24"/>
        </w:rPr>
        <w:t xml:space="preserve"> a </w:t>
      </w:r>
      <w:r>
        <w:rPr>
          <w:rFonts w:eastAsiaTheme="minorEastAsia"/>
          <w:i/>
          <w:szCs w:val="24"/>
        </w:rPr>
        <w:t>v,</w:t>
      </w:r>
      <w:r>
        <w:rPr>
          <w:rFonts w:eastAsiaTheme="minorEastAsia"/>
          <w:szCs w:val="24"/>
        </w:rPr>
        <w:t xml:space="preserve"> můžeme přepsat na tvar (2.3.3) </w:t>
      </w:r>
    </w:p>
    <w:p w:rsidR="00DB7934" w:rsidRPr="00216921" w:rsidRDefault="00DB7934" w:rsidP="00DB7934">
      <w:pPr>
        <w:pStyle w:val="Bntextrga"/>
        <w:spacing w:line="360" w:lineRule="auto"/>
        <w:jc w:val="center"/>
        <w:rPr>
          <w:rFonts w:eastAsiaTheme="minorEastAsia"/>
          <w:szCs w:val="24"/>
        </w:rPr>
      </w:pPr>
      <m:oMathPara>
        <m:oMathParaPr>
          <m:jc m:val="right"/>
        </m:oMathParaPr>
        <m:oMath>
          <m:r>
            <w:rPr>
              <w:rFonts w:ascii="Cambria Math" w:eastAsiaTheme="minorEastAsia" w:hAnsi="Cambria Math"/>
              <w:szCs w:val="24"/>
            </w:rPr>
            <m:t>σ=</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12</m:t>
                          </m:r>
                        </m:sub>
                      </m:sSub>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d>
                </m:e>
                <m:sup>
                  <m:r>
                    <w:rPr>
                      <w:rFonts w:ascii="Cambria Math" w:eastAsiaTheme="minorEastAsia" w:hAnsi="Cambria Math"/>
                      <w:szCs w:val="24"/>
                    </w:rPr>
                    <m:t>2</m:t>
                  </m:r>
                </m:sup>
              </m:sSup>
              <m:r>
                <w:rPr>
                  <w:rFonts w:ascii="Cambria Math" w:eastAsiaTheme="minorEastAsia" w:hAnsi="Cambria Math"/>
                  <w:szCs w:val="24"/>
                </w:rPr>
                <m:t>ρ</m:t>
              </m:r>
              <m:sSup>
                <m:sSupPr>
                  <m:ctrlPr>
                    <w:rPr>
                      <w:rFonts w:ascii="Cambria Math" w:eastAsiaTheme="minorEastAsia" w:hAnsi="Cambria Math"/>
                      <w:i/>
                      <w:szCs w:val="24"/>
                    </w:rPr>
                  </m:ctrlPr>
                </m:sSupPr>
                <m:e>
                  <m:r>
                    <w:rPr>
                      <w:rFonts w:ascii="Cambria Math" w:eastAsiaTheme="minorEastAsia" w:hAnsi="Cambria Math"/>
                      <w:szCs w:val="24"/>
                    </w:rPr>
                    <m:t>g</m:t>
                  </m:r>
                </m:e>
                <m:sup>
                  <m:r>
                    <w:rPr>
                      <w:rFonts w:ascii="Cambria Math" w:eastAsiaTheme="minorEastAsia" w:hAnsi="Cambria Math"/>
                      <w:szCs w:val="24"/>
                    </w:rPr>
                    <m:t>3</m:t>
                  </m:r>
                </m:sup>
              </m:sSup>
            </m:num>
            <m:den>
              <m:r>
                <w:rPr>
                  <w:rFonts w:ascii="Cambria Math" w:eastAsiaTheme="minorEastAsia" w:hAnsi="Cambria Math"/>
                  <w:szCs w:val="24"/>
                </w:rPr>
                <m:t>4</m:t>
              </m:r>
            </m:den>
          </m:f>
          <m:r>
            <w:rPr>
              <w:rFonts w:ascii="Cambria Math" w:eastAsiaTheme="minorEastAsia" w:hAnsi="Cambria Math"/>
              <w:szCs w:val="24"/>
            </w:rPr>
            <m:t xml:space="preserve">                                                        (2.3.3)</m:t>
          </m:r>
        </m:oMath>
      </m:oMathPara>
    </w:p>
    <w:p w:rsidR="00DB7934" w:rsidRPr="00C830E9" w:rsidRDefault="00DB7934" w:rsidP="00DB7934">
      <w:pPr>
        <w:pStyle w:val="Bntextrga"/>
        <w:spacing w:line="360" w:lineRule="auto"/>
        <w:jc w:val="both"/>
        <w:rPr>
          <w:rFonts w:eastAsiaTheme="minorEastAsia"/>
          <w:szCs w:val="24"/>
        </w:rPr>
      </w:pPr>
      <w:r>
        <w:rPr>
          <w:rFonts w:eastAsiaTheme="minorEastAsia"/>
          <w:szCs w:val="24"/>
        </w:rPr>
        <w:t xml:space="preserve">Ze vztahu (2.3.3) pak plyne vztah (2.3.4) pro absolutní </w:t>
      </w:r>
      <w:r w:rsidR="00FC4D2A">
        <w:rPr>
          <w:rFonts w:eastAsiaTheme="minorEastAsia"/>
          <w:szCs w:val="24"/>
        </w:rPr>
        <w:t>nejistotu</w:t>
      </w:r>
      <w:r>
        <w:rPr>
          <w:rFonts w:eastAsiaTheme="minorEastAsia"/>
          <w:szCs w:val="24"/>
        </w:rPr>
        <w:t xml:space="preserve"> </w:t>
      </w:r>
      <m:oMath>
        <m:r>
          <w:rPr>
            <w:rFonts w:ascii="Cambria Math" w:eastAsiaTheme="minorEastAsia" w:hAnsi="Cambria Math"/>
            <w:szCs w:val="24"/>
          </w:rPr>
          <m:t>∆σ</m:t>
        </m:r>
      </m:oMath>
      <w:r>
        <w:rPr>
          <w:rFonts w:eastAsiaTheme="minorEastAsia"/>
          <w:szCs w:val="24"/>
        </w:rPr>
        <w:t>:</w:t>
      </w:r>
    </w:p>
    <w:p w:rsidR="00DB7934" w:rsidRPr="006C1096" w:rsidRDefault="00DB7934" w:rsidP="00DB7934">
      <w:pPr>
        <w:pStyle w:val="Bntextrga"/>
        <w:tabs>
          <w:tab w:val="left" w:pos="709"/>
        </w:tabs>
        <w:spacing w:line="360" w:lineRule="auto"/>
        <w:rPr>
          <w:rFonts w:eastAsiaTheme="minorEastAsia"/>
          <w:szCs w:val="24"/>
        </w:rPr>
      </w:pPr>
      <m:oMathPara>
        <m:oMathParaPr>
          <m:jc m:val="right"/>
        </m:oMathParaPr>
        <m:oMath>
          <m:r>
            <w:rPr>
              <w:rFonts w:ascii="Cambria Math" w:eastAsiaTheme="minorEastAsia" w:hAnsi="Cambria Math"/>
              <w:szCs w:val="24"/>
            </w:rPr>
            <m:t>∆σ=2</m:t>
          </m:r>
          <m:acc>
            <m:accPr>
              <m:chr m:val="̅"/>
              <m:ctrlPr>
                <w:rPr>
                  <w:rFonts w:ascii="Cambria Math" w:eastAsiaTheme="minorEastAsia" w:hAnsi="Cambria Math"/>
                  <w:i/>
                  <w:szCs w:val="24"/>
                </w:rPr>
              </m:ctrlPr>
            </m:accPr>
            <m:e>
              <m:r>
                <w:rPr>
                  <w:rFonts w:ascii="Cambria Math" w:eastAsiaTheme="minorEastAsia" w:hAnsi="Cambria Math"/>
                  <w:szCs w:val="24"/>
                </w:rPr>
                <m:t>σ</m:t>
              </m:r>
            </m:e>
          </m:acc>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12</m:t>
                      </m:r>
                    </m:sub>
                  </m:sSub>
                </m:num>
                <m:den>
                  <m:acc>
                    <m:accPr>
                      <m:chr m:val="̅"/>
                      <m:ctrlPr>
                        <w:rPr>
                          <w:rFonts w:ascii="Cambria Math" w:eastAsiaTheme="minorEastAsia" w:hAnsi="Cambria Math"/>
                          <w:i/>
                          <w:szCs w:val="24"/>
                        </w:rPr>
                      </m:ctrlPr>
                    </m:acc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12</m:t>
                          </m:r>
                        </m:sub>
                      </m:sSub>
                    </m:e>
                  </m:acc>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num>
                <m:den>
                  <m:acc>
                    <m:accPr>
                      <m:chr m:val="̅"/>
                      <m:ctrlPr>
                        <w:rPr>
                          <w:rFonts w:ascii="Cambria Math" w:eastAsiaTheme="minorEastAsia" w:hAnsi="Cambria Math"/>
                          <w:i/>
                          <w:szCs w:val="24"/>
                        </w:rPr>
                      </m:ctrlPr>
                    </m:accPr>
                    <m:e>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2</m:t>
                          </m:r>
                        </m:sub>
                      </m:sSub>
                    </m:e>
                  </m:acc>
                </m:den>
              </m:f>
            </m:e>
          </m:d>
          <m:r>
            <w:rPr>
              <w:rFonts w:ascii="Cambria Math" w:eastAsiaTheme="minorEastAsia" w:hAnsi="Cambria Math"/>
              <w:szCs w:val="24"/>
            </w:rPr>
            <m:t xml:space="preserve">                                                        (2.3.4)</m:t>
          </m:r>
        </m:oMath>
      </m:oMathPara>
    </w:p>
    <w:p w:rsidR="00DB7934" w:rsidRDefault="00DB7934" w:rsidP="00DB7934">
      <w:pPr>
        <w:pStyle w:val="Bntextrga"/>
        <w:tabs>
          <w:tab w:val="left" w:pos="709"/>
        </w:tabs>
        <w:spacing w:line="360" w:lineRule="auto"/>
        <w:jc w:val="both"/>
        <w:rPr>
          <w:rFonts w:eastAsiaTheme="minorEastAsia"/>
          <w:szCs w:val="24"/>
        </w:rPr>
      </w:pPr>
      <w:r>
        <w:t xml:space="preserve">Pro vodu určíme tuto </w:t>
      </w:r>
      <w:r w:rsidR="00FC4D2A">
        <w:t>nejistotu</w:t>
      </w:r>
      <w:r>
        <w:t xml:space="preserve"> jako </w:t>
      </w:r>
      <m:oMath>
        <m:r>
          <w:rPr>
            <w:rFonts w:ascii="Cambria Math" w:eastAsiaTheme="minorEastAsia" w:hAnsi="Cambria Math"/>
            <w:szCs w:val="24"/>
          </w:rPr>
          <m:t>∆σ=2∙0,07207∙</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0,001</m:t>
                </m:r>
              </m:num>
              <m:den>
                <m:r>
                  <w:rPr>
                    <w:rFonts w:ascii="Cambria Math" w:eastAsiaTheme="minorEastAsia" w:hAnsi="Cambria Math"/>
                    <w:szCs w:val="24"/>
                  </w:rPr>
                  <m:t>0,088</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0,0002</m:t>
                </m:r>
              </m:num>
              <m:den>
                <m:r>
                  <w:rPr>
                    <w:rFonts w:ascii="Cambria Math" w:eastAsiaTheme="minorEastAsia" w:hAnsi="Cambria Math"/>
                    <w:szCs w:val="24"/>
                  </w:rPr>
                  <m:t>0,0062</m:t>
                </m:r>
              </m:den>
            </m:f>
          </m:e>
        </m:d>
        <m:r>
          <w:rPr>
            <w:rFonts w:ascii="Cambria Math" w:eastAsiaTheme="minorEastAsia" w:hAnsi="Cambria Math"/>
            <w:szCs w:val="24"/>
          </w:rPr>
          <m:t>=0,006</m:t>
        </m:r>
      </m:oMath>
      <w:r>
        <w:rPr>
          <w:rFonts w:eastAsiaTheme="minorEastAsia"/>
          <w:szCs w:val="24"/>
        </w:rPr>
        <w:t xml:space="preserve">.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Hodnoty veličin z pravé strany rovnice (2.3.4) najdeme pomocí analýzy naměřených dat v programu MS Excel. Při výpočtu hodnot u lihu postupujeme obdobně.</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Na závěr </w:t>
      </w:r>
      <w:r w:rsidRPr="00E377E6">
        <w:rPr>
          <w:rFonts w:eastAsiaTheme="minorEastAsia"/>
          <w:szCs w:val="24"/>
        </w:rPr>
        <w:t xml:space="preserve">vytvoříme graf závislosti </w:t>
      </w:r>
      <w:r>
        <w:rPr>
          <w:rFonts w:eastAsiaTheme="minorEastAsia"/>
          <w:szCs w:val="24"/>
        </w:rPr>
        <w:t xml:space="preserve">povrchového </w:t>
      </w:r>
      <m:oMath>
        <m:r>
          <w:rPr>
            <w:rFonts w:ascii="Cambria Math" w:eastAsiaTheme="minorEastAsia" w:hAnsi="Cambria Math"/>
            <w:szCs w:val="24"/>
          </w:rPr>
          <m:t>σ</m:t>
        </m:r>
      </m:oMath>
      <w:r>
        <w:rPr>
          <w:rFonts w:eastAsiaTheme="minorEastAsia"/>
          <w:szCs w:val="24"/>
        </w:rPr>
        <w:t xml:space="preserve"> napětí pro vodu nebo líh na velikosti kapky </w:t>
      </w:r>
      <w:r>
        <w:rPr>
          <w:rFonts w:eastAsiaTheme="minorEastAsia"/>
          <w:i/>
          <w:szCs w:val="24"/>
        </w:rPr>
        <w:t>H</w:t>
      </w:r>
      <w:r w:rsidRPr="00E377E6">
        <w:rPr>
          <w:rFonts w:eastAsiaTheme="minorEastAsia"/>
          <w:szCs w:val="24"/>
        </w:rPr>
        <w:t xml:space="preserve">, který doplníme o regresní analýzu (Přidat spojnici trendu). </w:t>
      </w:r>
      <w:r>
        <w:rPr>
          <w:rFonts w:eastAsiaTheme="minorEastAsia"/>
          <w:szCs w:val="24"/>
        </w:rPr>
        <w:t>G</w:t>
      </w:r>
      <w:r w:rsidRPr="00E377E6">
        <w:rPr>
          <w:rFonts w:eastAsiaTheme="minorEastAsia"/>
          <w:szCs w:val="24"/>
        </w:rPr>
        <w:t>raf vy</w:t>
      </w:r>
      <w:r>
        <w:rPr>
          <w:rFonts w:eastAsiaTheme="minorEastAsia"/>
          <w:szCs w:val="24"/>
        </w:rPr>
        <w:t>tvořený na základě tabulky 2.3 je na obrázku 2.3.4</w:t>
      </w:r>
      <w:r w:rsidRPr="00E377E6">
        <w:rPr>
          <w:rFonts w:eastAsiaTheme="minorEastAsia"/>
          <w:szCs w:val="24"/>
        </w:rPr>
        <w:t>.</w:t>
      </w:r>
    </w:p>
    <w:p w:rsidR="00DB7934" w:rsidRDefault="00D82C12" w:rsidP="00DB7934">
      <w:pPr>
        <w:pStyle w:val="Bntextrga"/>
        <w:tabs>
          <w:tab w:val="left" w:pos="709"/>
        </w:tabs>
        <w:spacing w:line="360" w:lineRule="auto"/>
        <w:jc w:val="both"/>
        <w:rPr>
          <w:rFonts w:eastAsiaTheme="minorEastAsia"/>
          <w:szCs w:val="24"/>
        </w:rPr>
      </w:pPr>
      <w:r>
        <w:rPr>
          <w:noProof/>
          <w:lang w:eastAsia="cs-CZ"/>
        </w:rPr>
        <w:br/>
      </w:r>
      <w:r w:rsidR="00DB7934">
        <w:rPr>
          <w:noProof/>
          <w:lang w:eastAsia="cs-CZ"/>
        </w:rPr>
        <w:drawing>
          <wp:inline distT="0" distB="0" distL="0" distR="0" wp14:anchorId="1DB1B9C9" wp14:editId="46311954">
            <wp:extent cx="5760000" cy="3240000"/>
            <wp:effectExtent l="0" t="0" r="12700" b="17780"/>
            <wp:docPr id="59" name="Graf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7934" w:rsidRPr="00652A4B" w:rsidRDefault="00DB7934" w:rsidP="00DB7934">
      <w:pPr>
        <w:pStyle w:val="Bntextrga"/>
        <w:spacing w:line="360" w:lineRule="auto"/>
        <w:jc w:val="center"/>
        <w:rPr>
          <w:rFonts w:eastAsiaTheme="minorEastAsia"/>
          <w:sz w:val="20"/>
          <w:szCs w:val="20"/>
        </w:rPr>
      </w:pPr>
      <w:r>
        <w:rPr>
          <w:rFonts w:eastAsiaTheme="minorEastAsia"/>
          <w:sz w:val="20"/>
          <w:szCs w:val="20"/>
        </w:rPr>
        <w:t>Obr. 2.3</w:t>
      </w:r>
      <w:r w:rsidRPr="007A2BCA">
        <w:rPr>
          <w:rFonts w:eastAsiaTheme="minorEastAsia"/>
          <w:sz w:val="20"/>
          <w:szCs w:val="20"/>
        </w:rPr>
        <w:t>.</w:t>
      </w:r>
      <w:r>
        <w:rPr>
          <w:rFonts w:eastAsiaTheme="minorEastAsia"/>
          <w:sz w:val="20"/>
          <w:szCs w:val="20"/>
        </w:rPr>
        <w:t>4</w:t>
      </w:r>
      <w:r w:rsidRPr="007A2BCA">
        <w:rPr>
          <w:rFonts w:eastAsiaTheme="minorEastAsia"/>
          <w:sz w:val="20"/>
          <w:szCs w:val="20"/>
        </w:rPr>
        <w:t xml:space="preserve"> </w:t>
      </w:r>
      <w:r>
        <w:rPr>
          <w:rFonts w:eastAsiaTheme="minorEastAsia"/>
          <w:sz w:val="20"/>
          <w:szCs w:val="20"/>
        </w:rPr>
        <w:t>Graf závislosti povrchového napětí vody na průměru maximální kapky</w:t>
      </w:r>
      <w:r w:rsidRPr="007A2BCA">
        <w:rPr>
          <w:rFonts w:eastAsiaTheme="minorEastAsia"/>
          <w:sz w:val="20"/>
          <w:szCs w:val="20"/>
        </w:rPr>
        <w:t xml:space="preserve"> – Měření </w:t>
      </w:r>
      <w:r>
        <w:rPr>
          <w:rFonts w:eastAsiaTheme="minorEastAsia"/>
          <w:sz w:val="20"/>
          <w:szCs w:val="20"/>
        </w:rPr>
        <w:t>povrchového napětí kapaliny metodou maximální kapky</w:t>
      </w:r>
    </w:p>
    <w:p w:rsidR="00DB7934" w:rsidRDefault="00DB7934" w:rsidP="00DB7934">
      <w:pPr>
        <w:pStyle w:val="Bntextrga"/>
        <w:tabs>
          <w:tab w:val="left" w:pos="709"/>
        </w:tabs>
        <w:spacing w:line="360" w:lineRule="auto"/>
        <w:jc w:val="center"/>
        <w:rPr>
          <w:rFonts w:eastAsiaTheme="minorEastAsia"/>
          <w:szCs w:val="24"/>
        </w:rPr>
      </w:pPr>
    </w:p>
    <w:p w:rsidR="00DB7934" w:rsidRPr="00B34DD5" w:rsidRDefault="00DB7934" w:rsidP="00DB7934">
      <w:pPr>
        <w:pStyle w:val="Bntextrga"/>
        <w:tabs>
          <w:tab w:val="left" w:pos="709"/>
        </w:tabs>
        <w:spacing w:line="360" w:lineRule="auto"/>
        <w:jc w:val="both"/>
        <w:rPr>
          <w:b/>
        </w:rPr>
      </w:pPr>
      <w:r w:rsidRPr="00B34DD5">
        <w:rPr>
          <w:b/>
        </w:rPr>
        <w:lastRenderedPageBreak/>
        <w:t>Závěr</w:t>
      </w:r>
    </w:p>
    <w:p w:rsidR="00DB7934" w:rsidRDefault="00DB7934" w:rsidP="00DB7934">
      <w:pPr>
        <w:pStyle w:val="Bntextrga"/>
        <w:tabs>
          <w:tab w:val="left" w:pos="709"/>
        </w:tabs>
        <w:spacing w:line="360" w:lineRule="auto"/>
        <w:jc w:val="both"/>
      </w:pPr>
      <w:r w:rsidRPr="00916230">
        <w:t xml:space="preserve">Naměřené hodnoty </w:t>
      </w:r>
      <w:r>
        <w:t xml:space="preserve">uvedené v tabulce 2.3 </w:t>
      </w:r>
      <w:r w:rsidRPr="00916230">
        <w:t>se celkem</w:t>
      </w:r>
      <w:r>
        <w:t xml:space="preserve"> dobře shodují s tabulkovými hodnotami pro vodu </w:t>
      </w:r>
      <m:oMath>
        <m:r>
          <w:rPr>
            <w:rFonts w:ascii="Cambria Math" w:hAnsi="Cambria Math"/>
          </w:rPr>
          <m:t xml:space="preserve">σ=73 </m:t>
        </m:r>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Pr>
          <w:rFonts w:eastAsiaTheme="minorEastAsia"/>
        </w:rPr>
        <w:t xml:space="preserve"> a pro líh </w:t>
      </w:r>
      <m:oMath>
        <m:r>
          <w:rPr>
            <w:rFonts w:ascii="Cambria Math" w:hAnsi="Cambria Math"/>
          </w:rPr>
          <m:t xml:space="preserve">σ=22 </m:t>
        </m:r>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t xml:space="preserve">.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r>
      <w:r w:rsidRPr="00A4357F">
        <w:rPr>
          <w:rFonts w:eastAsiaTheme="minorEastAsia"/>
          <w:szCs w:val="24"/>
        </w:rPr>
        <w:t xml:space="preserve">Průměrná hodnota </w:t>
      </w:r>
      <w:r>
        <w:rPr>
          <w:rFonts w:eastAsiaTheme="minorEastAsia"/>
          <w:szCs w:val="24"/>
        </w:rPr>
        <w:t xml:space="preserve">povrchového napětí vody určená z hodnot v tabulce 2.3 má velikost </w:t>
      </w:r>
      <m:oMath>
        <m:r>
          <w:rPr>
            <w:rFonts w:ascii="Cambria Math" w:eastAsiaTheme="minorEastAsia" w:hAnsi="Cambria Math"/>
            <w:szCs w:val="24"/>
          </w:rPr>
          <m:t>σ=</m:t>
        </m:r>
        <m:d>
          <m:dPr>
            <m:ctrlPr>
              <w:rPr>
                <w:rFonts w:ascii="Cambria Math" w:eastAsiaTheme="minorEastAsia" w:hAnsi="Cambria Math"/>
                <w:i/>
                <w:szCs w:val="24"/>
              </w:rPr>
            </m:ctrlPr>
          </m:dPr>
          <m:e>
            <m:r>
              <w:rPr>
                <w:rFonts w:ascii="Cambria Math" w:eastAsiaTheme="minorEastAsia" w:hAnsi="Cambria Math"/>
                <w:szCs w:val="24"/>
              </w:rPr>
              <m:t>72±6</m:t>
            </m:r>
          </m:e>
        </m:d>
      </m:oMath>
      <w:r w:rsidRPr="00A4357F">
        <w:rPr>
          <w:rFonts w:eastAsiaTheme="minorEastAsia"/>
          <w:szCs w:val="24"/>
        </w:rPr>
        <w:t xml:space="preserve"> </w:t>
      </w:r>
      <m:oMath>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sidRPr="00A4357F">
        <w:rPr>
          <w:rFonts w:eastAsiaTheme="minorEastAsia"/>
          <w:szCs w:val="24"/>
        </w:rPr>
        <w:t xml:space="preserve">. Relativní </w:t>
      </w:r>
      <w:r w:rsidR="00FC4D2A">
        <w:rPr>
          <w:rFonts w:eastAsiaTheme="minorEastAsia"/>
          <w:szCs w:val="24"/>
        </w:rPr>
        <w:t>nejistota</w:t>
      </w:r>
      <w:r w:rsidRPr="00A4357F">
        <w:rPr>
          <w:rFonts w:eastAsiaTheme="minorEastAsia"/>
          <w:szCs w:val="24"/>
        </w:rPr>
        <w:t xml:space="preserve"> měření je </w:t>
      </w:r>
      <m:oMath>
        <m:r>
          <w:rPr>
            <w:rFonts w:ascii="Cambria Math" w:eastAsiaTheme="minorEastAsia" w:hAnsi="Cambria Math"/>
            <w:szCs w:val="24"/>
          </w:rPr>
          <m:t>δσ=0,0833≐8</m:t>
        </m:r>
      </m:oMath>
      <w:r w:rsidRPr="00A4357F">
        <w:rPr>
          <w:rFonts w:eastAsiaTheme="minorEastAsia"/>
          <w:szCs w:val="24"/>
        </w:rPr>
        <w:t xml:space="preserve"> %, což </w:t>
      </w:r>
      <w:r w:rsidR="00D1357A">
        <w:rPr>
          <w:rFonts w:eastAsiaTheme="minorEastAsia"/>
          <w:szCs w:val="24"/>
        </w:rPr>
        <w:t>je</w:t>
      </w:r>
      <w:r>
        <w:rPr>
          <w:rFonts w:eastAsiaTheme="minorEastAsia"/>
          <w:szCs w:val="24"/>
        </w:rPr>
        <w:t xml:space="preserve"> v případě měření ve školní laboratoři relativně dobrý výsledek</w:t>
      </w:r>
      <w:r w:rsidRPr="00A4357F">
        <w:rPr>
          <w:rFonts w:eastAsiaTheme="minorEastAsia"/>
          <w:szCs w:val="24"/>
        </w:rPr>
        <w:t>.</w:t>
      </w:r>
      <w:r w:rsidR="00D1357A">
        <w:rPr>
          <w:rFonts w:eastAsiaTheme="minorEastAsia"/>
          <w:szCs w:val="24"/>
        </w:rPr>
        <w:t xml:space="preserve"> Průměrná hodnota je </w:t>
      </w:r>
      <w:r>
        <w:rPr>
          <w:rFonts w:eastAsiaTheme="minorEastAsia"/>
          <w:szCs w:val="24"/>
        </w:rPr>
        <w:t xml:space="preserve">ve výborném souladu s tabulkovou hodnotou </w:t>
      </w:r>
      <m:oMath>
        <m:r>
          <w:rPr>
            <w:rFonts w:ascii="Cambria Math" w:hAnsi="Cambria Math"/>
          </w:rPr>
          <m:t xml:space="preserve">σ=73 </m:t>
        </m:r>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Pr>
          <w:rFonts w:eastAsiaTheme="minorEastAsia"/>
          <w:szCs w:val="24"/>
        </w:rPr>
        <w:t xml:space="preserve">.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r>
      <w:r w:rsidRPr="00A4357F">
        <w:rPr>
          <w:rFonts w:eastAsiaTheme="minorEastAsia"/>
          <w:szCs w:val="24"/>
        </w:rPr>
        <w:t xml:space="preserve">Průměrná hodnota </w:t>
      </w:r>
      <w:r>
        <w:rPr>
          <w:rFonts w:eastAsiaTheme="minorEastAsia"/>
          <w:szCs w:val="24"/>
        </w:rPr>
        <w:t xml:space="preserve">povrchového napětí lihu určená z hodnot v tabulce 2.3 má velikost </w:t>
      </w:r>
      <m:oMath>
        <m:r>
          <w:rPr>
            <w:rFonts w:ascii="Cambria Math" w:eastAsiaTheme="minorEastAsia" w:hAnsi="Cambria Math"/>
            <w:szCs w:val="24"/>
          </w:rPr>
          <m:t>σ=</m:t>
        </m:r>
        <m:d>
          <m:dPr>
            <m:ctrlPr>
              <w:rPr>
                <w:rFonts w:ascii="Cambria Math" w:eastAsiaTheme="minorEastAsia" w:hAnsi="Cambria Math"/>
                <w:i/>
                <w:szCs w:val="24"/>
              </w:rPr>
            </m:ctrlPr>
          </m:dPr>
          <m:e>
            <m:r>
              <w:rPr>
                <w:rFonts w:ascii="Cambria Math" w:eastAsiaTheme="minorEastAsia" w:hAnsi="Cambria Math"/>
                <w:szCs w:val="24"/>
              </w:rPr>
              <m:t>22±2</m:t>
            </m:r>
          </m:e>
        </m:d>
      </m:oMath>
      <w:r w:rsidRPr="00A4357F">
        <w:rPr>
          <w:rFonts w:eastAsiaTheme="minorEastAsia"/>
          <w:szCs w:val="24"/>
        </w:rPr>
        <w:t xml:space="preserve"> </w:t>
      </w:r>
      <m:oMath>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sidRPr="00A4357F">
        <w:rPr>
          <w:rFonts w:eastAsiaTheme="minorEastAsia"/>
          <w:szCs w:val="24"/>
        </w:rPr>
        <w:t xml:space="preserve">. Relativní </w:t>
      </w:r>
      <w:r w:rsidR="00FC4D2A">
        <w:rPr>
          <w:rFonts w:eastAsiaTheme="minorEastAsia"/>
          <w:szCs w:val="24"/>
        </w:rPr>
        <w:t>nejistota</w:t>
      </w:r>
      <w:r w:rsidRPr="00A4357F">
        <w:rPr>
          <w:rFonts w:eastAsiaTheme="minorEastAsia"/>
          <w:szCs w:val="24"/>
        </w:rPr>
        <w:t xml:space="preserve"> měření je </w:t>
      </w:r>
      <m:oMath>
        <m:r>
          <w:rPr>
            <w:rFonts w:ascii="Cambria Math" w:eastAsiaTheme="minorEastAsia" w:hAnsi="Cambria Math"/>
            <w:szCs w:val="24"/>
          </w:rPr>
          <m:t>δσ=0,0909≐9</m:t>
        </m:r>
      </m:oMath>
      <w:r w:rsidRPr="00A4357F">
        <w:rPr>
          <w:rFonts w:eastAsiaTheme="minorEastAsia"/>
          <w:szCs w:val="24"/>
        </w:rPr>
        <w:t xml:space="preserve"> %, což </w:t>
      </w:r>
      <w:r w:rsidR="00D1357A">
        <w:rPr>
          <w:rFonts w:eastAsiaTheme="minorEastAsia"/>
          <w:szCs w:val="24"/>
        </w:rPr>
        <w:t>je</w:t>
      </w:r>
      <w:r>
        <w:rPr>
          <w:rFonts w:eastAsiaTheme="minorEastAsia"/>
          <w:szCs w:val="24"/>
        </w:rPr>
        <w:t xml:space="preserve"> také relativně dobrý výsledek</w:t>
      </w:r>
      <w:r w:rsidRPr="00A4357F">
        <w:rPr>
          <w:rFonts w:eastAsiaTheme="minorEastAsia"/>
          <w:szCs w:val="24"/>
        </w:rPr>
        <w:t>.</w:t>
      </w:r>
      <w:r>
        <w:rPr>
          <w:rFonts w:eastAsiaTheme="minorEastAsia"/>
          <w:szCs w:val="24"/>
        </w:rPr>
        <w:t xml:space="preserve"> Průměrná hodnota je identická s tabulkovou hodnotou </w:t>
      </w:r>
      <w:r w:rsidR="00776DDC">
        <w:rPr>
          <w:rFonts w:eastAsiaTheme="minorEastAsia"/>
          <w:szCs w:val="24"/>
        </w:rPr>
        <w:br/>
      </w:r>
      <m:oMath>
        <m:r>
          <w:rPr>
            <w:rFonts w:ascii="Cambria Math" w:hAnsi="Cambria Math"/>
          </w:rPr>
          <m:t xml:space="preserve">σ=22 </m:t>
        </m:r>
        <m:r>
          <m:rPr>
            <m:sty m:val="p"/>
          </m:rPr>
          <w:rPr>
            <w:rFonts w:ascii="Cambria Math" w:hAnsi="Cambria Math"/>
          </w:rPr>
          <m:t>mN∙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-1</m:t>
            </m:r>
          </m:sup>
        </m:sSup>
      </m:oMath>
      <w:r>
        <w:rPr>
          <w:rFonts w:eastAsiaTheme="minorEastAsia"/>
          <w:szCs w:val="24"/>
        </w:rPr>
        <w:t xml:space="preserve">.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 xml:space="preserve">Regresní funkce v grafu na obrázku 2.3.4 tentokrát není lineární, ale polynomická stupně 2, tj. kvadratická, což odpovídá odvozené závislosti (2.3.2), ve které platí </w:t>
      </w:r>
      <m:oMath>
        <m:r>
          <w:rPr>
            <w:rFonts w:ascii="Cambria Math" w:eastAsiaTheme="minorEastAsia" w:hAnsi="Cambria Math"/>
            <w:szCs w:val="24"/>
          </w:rPr>
          <m:t>σ~</m:t>
        </m:r>
        <m:sSup>
          <m:sSupPr>
            <m:ctrlPr>
              <w:rPr>
                <w:rFonts w:ascii="Cambria Math" w:eastAsiaTheme="minorEastAsia" w:hAnsi="Cambria Math"/>
                <w:i/>
                <w:szCs w:val="24"/>
              </w:rPr>
            </m:ctrlPr>
          </m:sSupPr>
          <m:e>
            <m:r>
              <w:rPr>
                <w:rFonts w:ascii="Cambria Math" w:eastAsiaTheme="minorEastAsia" w:hAnsi="Cambria Math"/>
                <w:szCs w:val="24"/>
              </w:rPr>
              <m:t>H</m:t>
            </m:r>
          </m:e>
          <m:sup>
            <m:r>
              <w:rPr>
                <w:rFonts w:ascii="Cambria Math" w:eastAsiaTheme="minorEastAsia" w:hAnsi="Cambria Math"/>
                <w:szCs w:val="24"/>
              </w:rPr>
              <m:t>2</m:t>
            </m:r>
          </m:sup>
        </m:sSup>
      </m:oMath>
      <w:r>
        <w:rPr>
          <w:rFonts w:eastAsiaTheme="minorEastAsia"/>
          <w:szCs w:val="24"/>
        </w:rPr>
        <w:t xml:space="preserve">. </w:t>
      </w:r>
    </w:p>
    <w:p w:rsidR="00DB7934" w:rsidRDefault="00DB7934" w:rsidP="00DB7934">
      <w:pPr>
        <w:pStyle w:val="Bntextrga"/>
        <w:tabs>
          <w:tab w:val="left" w:pos="709"/>
        </w:tabs>
        <w:spacing w:line="360" w:lineRule="auto"/>
        <w:jc w:val="both"/>
        <w:rPr>
          <w:rFonts w:eastAsiaTheme="minorEastAsia"/>
          <w:szCs w:val="24"/>
        </w:rPr>
      </w:pPr>
      <w:r>
        <w:rPr>
          <w:rFonts w:eastAsiaTheme="minorEastAsia"/>
          <w:szCs w:val="24"/>
        </w:rPr>
        <w:tab/>
        <w:t>Na obrázku 2.3.4 je dobře pozorovatelná kumulace hodnot v pravé větvi paraboly, z předpisu regresní funkce v tomto případě hodnotu povrchového napětí vody nezjistíme.</w:t>
      </w:r>
    </w:p>
    <w:p w:rsidR="00DB7934" w:rsidRDefault="00DB7934" w:rsidP="00DB7934">
      <w:pPr>
        <w:pStyle w:val="Bntextrga"/>
        <w:spacing w:line="360" w:lineRule="auto"/>
        <w:rPr>
          <w:rFonts w:eastAsiaTheme="minorEastAsia"/>
          <w:b/>
          <w:szCs w:val="24"/>
        </w:rPr>
      </w:pPr>
    </w:p>
    <w:p w:rsidR="00DB7934" w:rsidRDefault="00DB7934" w:rsidP="00DB7934">
      <w:pPr>
        <w:pStyle w:val="Bntextrga"/>
        <w:spacing w:line="360" w:lineRule="auto"/>
        <w:rPr>
          <w:rFonts w:eastAsiaTheme="minorEastAsia"/>
          <w:szCs w:val="24"/>
        </w:rPr>
      </w:pPr>
      <w:r w:rsidRPr="0055352D">
        <w:rPr>
          <w:rFonts w:eastAsiaTheme="minorEastAsia"/>
          <w:b/>
          <w:szCs w:val="24"/>
        </w:rPr>
        <w:t>Otázky na závěr</w:t>
      </w:r>
    </w:p>
    <w:p w:rsidR="00DB7934" w:rsidRDefault="00DB7934" w:rsidP="00DB7934">
      <w:pPr>
        <w:pStyle w:val="Bntextrga"/>
        <w:spacing w:line="360" w:lineRule="auto"/>
        <w:jc w:val="both"/>
        <w:rPr>
          <w:rFonts w:eastAsiaTheme="minorEastAsia"/>
          <w:szCs w:val="24"/>
        </w:rPr>
      </w:pPr>
      <w:r>
        <w:rPr>
          <w:rFonts w:eastAsiaTheme="minorEastAsia"/>
          <w:szCs w:val="24"/>
        </w:rPr>
        <w:t xml:space="preserve">1. Odvoďte vztah (2.3.3).  </w:t>
      </w:r>
    </w:p>
    <w:p w:rsidR="00262990" w:rsidRDefault="00DB7934" w:rsidP="00DB7934">
      <w:pPr>
        <w:spacing w:line="360" w:lineRule="auto"/>
        <w:jc w:val="both"/>
      </w:pPr>
      <w:r>
        <w:rPr>
          <w:rFonts w:eastAsiaTheme="minorEastAsia"/>
          <w:szCs w:val="24"/>
        </w:rPr>
        <w:t xml:space="preserve">2. </w:t>
      </w:r>
      <w:r w:rsidRPr="00DB7934">
        <w:rPr>
          <w:rFonts w:ascii="Times New Roman" w:eastAsiaTheme="minorEastAsia" w:hAnsi="Times New Roman" w:cs="Times New Roman"/>
          <w:sz w:val="24"/>
          <w:szCs w:val="24"/>
        </w:rPr>
        <w:t xml:space="preserve">Kvadratická závislost regresní funkce </w:t>
      </w:r>
      <w:proofErr w:type="gramStart"/>
      <w:r w:rsidRPr="00DB7934">
        <w:rPr>
          <w:rFonts w:ascii="Times New Roman" w:eastAsiaTheme="minorEastAsia" w:hAnsi="Times New Roman" w:cs="Times New Roman"/>
          <w:sz w:val="24"/>
          <w:szCs w:val="24"/>
        </w:rPr>
        <w:t>generuje</w:t>
      </w:r>
      <w:proofErr w:type="gramEnd"/>
      <w:r w:rsidRPr="00DB7934">
        <w:rPr>
          <w:rFonts w:ascii="Times New Roman" w:eastAsiaTheme="minorEastAsia" w:hAnsi="Times New Roman" w:cs="Times New Roman"/>
          <w:sz w:val="24"/>
          <w:szCs w:val="24"/>
        </w:rPr>
        <w:t xml:space="preserve"> pro každou hodnotu povrchového napětí dvě různé hodnoty průměru kapky </w:t>
      </w:r>
      <w:r w:rsidRPr="00DB7934">
        <w:rPr>
          <w:rFonts w:ascii="Times New Roman" w:eastAsiaTheme="minorEastAsia" w:hAnsi="Times New Roman" w:cs="Times New Roman"/>
          <w:i/>
          <w:sz w:val="24"/>
          <w:szCs w:val="24"/>
        </w:rPr>
        <w:t>H</w:t>
      </w:r>
      <w:r w:rsidRPr="00DB7934">
        <w:rPr>
          <w:rFonts w:ascii="Times New Roman" w:eastAsiaTheme="minorEastAsia" w:hAnsi="Times New Roman" w:cs="Times New Roman"/>
          <w:sz w:val="24"/>
          <w:szCs w:val="24"/>
        </w:rPr>
        <w:t xml:space="preserve">. Z nalezeného tvaru regresní funkce nejprve </w:t>
      </w:r>
      <w:proofErr w:type="gramStart"/>
      <w:r w:rsidRPr="00DB7934">
        <w:rPr>
          <w:rFonts w:ascii="Times New Roman" w:eastAsiaTheme="minorEastAsia" w:hAnsi="Times New Roman" w:cs="Times New Roman"/>
          <w:sz w:val="24"/>
          <w:szCs w:val="24"/>
        </w:rPr>
        <w:t>vypočítejte</w:t>
      </w:r>
      <w:proofErr w:type="gramEnd"/>
      <w:r w:rsidRPr="00DB7934">
        <w:rPr>
          <w:rFonts w:ascii="Times New Roman" w:eastAsiaTheme="minorEastAsia" w:hAnsi="Times New Roman" w:cs="Times New Roman"/>
          <w:sz w:val="24"/>
          <w:szCs w:val="24"/>
        </w:rPr>
        <w:t xml:space="preserve"> hodnotu druhého průměru kapky, která také odpovídá hodnotě povrchového napětí </w:t>
      </w:r>
      <w:r w:rsidRPr="00DB7934">
        <w:rPr>
          <w:rFonts w:ascii="Times New Roman" w:eastAsiaTheme="minorEastAsia" w:hAnsi="Times New Roman" w:cs="Times New Roman"/>
          <w:sz w:val="24"/>
          <w:szCs w:val="24"/>
        </w:rPr>
        <w:br/>
      </w:r>
      <m:oMath>
        <m:r>
          <w:rPr>
            <w:rFonts w:ascii="Cambria Math" w:eastAsiaTheme="minorEastAsia" w:hAnsi="Cambria Math" w:cs="Times New Roman"/>
            <w:sz w:val="24"/>
            <w:szCs w:val="24"/>
          </w:rPr>
          <m:t>σ=73</m:t>
        </m:r>
      </m:oMath>
      <w:r w:rsidRPr="00DB7934">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mN∙</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oMath>
      <w:r w:rsidRPr="00DB7934">
        <w:rPr>
          <w:rFonts w:ascii="Times New Roman" w:eastAsiaTheme="minorEastAsia" w:hAnsi="Times New Roman" w:cs="Times New Roman"/>
          <w:sz w:val="24"/>
          <w:szCs w:val="24"/>
        </w:rPr>
        <w:t>. Z nalezené velikosti kapky pak vypočítejte, jakou hustotu má tato kapalina při stejné hmotnosti kapky. Z MFChT</w:t>
      </w:r>
      <w:bookmarkStart w:id="1" w:name="_GoBack"/>
      <w:bookmarkEnd w:id="1"/>
      <w:r w:rsidRPr="00DB7934">
        <w:rPr>
          <w:rFonts w:ascii="Times New Roman" w:eastAsiaTheme="minorEastAsia" w:hAnsi="Times New Roman" w:cs="Times New Roman"/>
          <w:sz w:val="24"/>
          <w:szCs w:val="24"/>
        </w:rPr>
        <w:t xml:space="preserve"> tabulek se pak pokuste určit, o jakou kapalinu se jedná.</w:t>
      </w:r>
    </w:p>
    <w:sectPr w:rsidR="00262990" w:rsidSect="00DB793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34"/>
    <w:rsid w:val="00027A8C"/>
    <w:rsid w:val="00262990"/>
    <w:rsid w:val="003018B1"/>
    <w:rsid w:val="005E7C66"/>
    <w:rsid w:val="00776DDC"/>
    <w:rsid w:val="00B50E9E"/>
    <w:rsid w:val="00D1357A"/>
    <w:rsid w:val="00D82C12"/>
    <w:rsid w:val="00DB7934"/>
    <w:rsid w:val="00F739EF"/>
    <w:rsid w:val="00FC4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79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kapitola">
    <w:name w:val="Podkapitola"/>
    <w:basedOn w:val="Normln"/>
    <w:next w:val="Normln"/>
    <w:link w:val="PodkapitolaChar"/>
    <w:autoRedefine/>
    <w:qFormat/>
    <w:rsid w:val="00FC4D2A"/>
    <w:pPr>
      <w:keepNext/>
      <w:keepLines/>
      <w:spacing w:after="0"/>
      <w:ind w:left="1134" w:hanging="1134"/>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DB7934"/>
    <w:rPr>
      <w:rFonts w:ascii="Times New Roman" w:hAnsi="Times New Roman"/>
      <w:sz w:val="24"/>
    </w:rPr>
  </w:style>
  <w:style w:type="character" w:customStyle="1" w:styleId="PodkapitolaChar">
    <w:name w:val="Podkapitola Char"/>
    <w:basedOn w:val="Standardnpsmoodstavce"/>
    <w:link w:val="Podkapitola"/>
    <w:rsid w:val="00FC4D2A"/>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DB7934"/>
    <w:rPr>
      <w:rFonts w:ascii="Times New Roman" w:hAnsi="Times New Roman"/>
      <w:sz w:val="24"/>
    </w:rPr>
  </w:style>
  <w:style w:type="character" w:styleId="Hypertextovodkaz">
    <w:name w:val="Hyperlink"/>
    <w:basedOn w:val="Standardnpsmoodstavce"/>
    <w:uiPriority w:val="99"/>
    <w:unhideWhenUsed/>
    <w:rsid w:val="00DB7934"/>
    <w:rPr>
      <w:color w:val="0000FF" w:themeColor="hyperlink"/>
      <w:u w:val="single"/>
    </w:rPr>
  </w:style>
  <w:style w:type="table" w:customStyle="1" w:styleId="Mkatabulky3">
    <w:name w:val="Mřížka tabulky3"/>
    <w:basedOn w:val="Normlntabulka"/>
    <w:next w:val="Mkatabulky"/>
    <w:uiPriority w:val="59"/>
    <w:rsid w:val="00DB7934"/>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B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9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79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79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kapitola">
    <w:name w:val="Podkapitola"/>
    <w:basedOn w:val="Normln"/>
    <w:next w:val="Normln"/>
    <w:link w:val="PodkapitolaChar"/>
    <w:autoRedefine/>
    <w:qFormat/>
    <w:rsid w:val="00FC4D2A"/>
    <w:pPr>
      <w:keepNext/>
      <w:keepLines/>
      <w:spacing w:after="0"/>
      <w:ind w:left="1134" w:hanging="1134"/>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DB7934"/>
    <w:rPr>
      <w:rFonts w:ascii="Times New Roman" w:hAnsi="Times New Roman"/>
      <w:sz w:val="24"/>
    </w:rPr>
  </w:style>
  <w:style w:type="character" w:customStyle="1" w:styleId="PodkapitolaChar">
    <w:name w:val="Podkapitola Char"/>
    <w:basedOn w:val="Standardnpsmoodstavce"/>
    <w:link w:val="Podkapitola"/>
    <w:rsid w:val="00FC4D2A"/>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DB7934"/>
    <w:rPr>
      <w:rFonts w:ascii="Times New Roman" w:hAnsi="Times New Roman"/>
      <w:sz w:val="24"/>
    </w:rPr>
  </w:style>
  <w:style w:type="character" w:styleId="Hypertextovodkaz">
    <w:name w:val="Hyperlink"/>
    <w:basedOn w:val="Standardnpsmoodstavce"/>
    <w:uiPriority w:val="99"/>
    <w:unhideWhenUsed/>
    <w:rsid w:val="00DB7934"/>
    <w:rPr>
      <w:color w:val="0000FF" w:themeColor="hyperlink"/>
      <w:u w:val="single"/>
    </w:rPr>
  </w:style>
  <w:style w:type="table" w:customStyle="1" w:styleId="Mkatabulky3">
    <w:name w:val="Mřížka tabulky3"/>
    <w:basedOn w:val="Normlntabulka"/>
    <w:next w:val="Mkatabulky"/>
    <w:uiPriority w:val="59"/>
    <w:rsid w:val="00DB7934"/>
    <w:pPr>
      <w:spacing w:after="0" w:line="240" w:lineRule="auto"/>
    </w:pPr>
    <w:rPr>
      <w:rFonts w:ascii="Times New Roman" w:eastAsiaTheme="minorEastAsia" w:hAnsi="Times New Roman" w:cs="Times New Roman"/>
      <w:sz w:val="24"/>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B7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93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7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www.sclpx.eu/lab2R.php?exp=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2_3_povrchove-napeti-voda-lih-metoda-max-kapk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77951388888891E-2"/>
          <c:y val="0.204229012345679"/>
          <c:w val="0.70440989583333324"/>
          <c:h val="0.60820432098765431"/>
        </c:manualLayout>
      </c:layout>
      <c:scatterChart>
        <c:scatterStyle val="lineMarker"/>
        <c:varyColors val="0"/>
        <c:ser>
          <c:idx val="0"/>
          <c:order val="0"/>
          <c:spPr>
            <a:ln w="28575">
              <a:noFill/>
            </a:ln>
          </c:spPr>
          <c:trendline>
            <c:spPr>
              <a:ln>
                <a:solidFill>
                  <a:srgbClr val="FF0000"/>
                </a:solidFill>
              </a:ln>
            </c:spPr>
            <c:trendlineType val="poly"/>
            <c:order val="2"/>
            <c:backward val="4"/>
            <c:dispRSqr val="1"/>
            <c:dispEq val="1"/>
            <c:trendlineLbl>
              <c:layout>
                <c:manualLayout>
                  <c:x val="0.30771145833333335"/>
                  <c:y val="-0.18071049382716051"/>
                </c:manualLayout>
              </c:layout>
              <c:numFmt formatCode="General" sourceLinked="0"/>
              <c:txPr>
                <a:bodyPr/>
                <a:lstStyle/>
                <a:p>
                  <a:pPr>
                    <a:defRPr sz="1200">
                      <a:solidFill>
                        <a:srgbClr val="FF0000"/>
                      </a:solidFill>
                    </a:defRPr>
                  </a:pPr>
                  <a:endParaRPr lang="cs-CZ"/>
                </a:p>
              </c:txPr>
            </c:trendlineLbl>
          </c:trendline>
          <c:xVal>
            <c:numRef>
              <c:f>voda!$F$8:$F$12</c:f>
              <c:numCache>
                <c:formatCode>0.000</c:formatCode>
                <c:ptCount val="5"/>
                <c:pt idx="0">
                  <c:v>4.9000000000000004</c:v>
                </c:pt>
                <c:pt idx="1">
                  <c:v>5.6</c:v>
                </c:pt>
                <c:pt idx="2">
                  <c:v>5.2</c:v>
                </c:pt>
                <c:pt idx="3">
                  <c:v>5.5</c:v>
                </c:pt>
                <c:pt idx="4">
                  <c:v>5.8</c:v>
                </c:pt>
              </c:numCache>
            </c:numRef>
          </c:xVal>
          <c:yVal>
            <c:numRef>
              <c:f>voda!$G$8:$G$12</c:f>
              <c:numCache>
                <c:formatCode>0.000</c:formatCode>
                <c:ptCount val="5"/>
                <c:pt idx="0">
                  <c:v>59</c:v>
                </c:pt>
                <c:pt idx="1">
                  <c:v>77</c:v>
                </c:pt>
                <c:pt idx="2">
                  <c:v>65</c:v>
                </c:pt>
                <c:pt idx="3">
                  <c:v>76</c:v>
                </c:pt>
                <c:pt idx="4">
                  <c:v>84</c:v>
                </c:pt>
              </c:numCache>
            </c:numRef>
          </c:yVal>
          <c:smooth val="0"/>
        </c:ser>
        <c:dLbls>
          <c:showLegendKey val="0"/>
          <c:showVal val="0"/>
          <c:showCatName val="0"/>
          <c:showSerName val="0"/>
          <c:showPercent val="0"/>
          <c:showBubbleSize val="0"/>
        </c:dLbls>
        <c:axId val="198279936"/>
        <c:axId val="198281856"/>
      </c:scatterChart>
      <c:valAx>
        <c:axId val="198279936"/>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H</a:t>
                </a:r>
                <a:r>
                  <a:rPr lang="cs-CZ" sz="1200" b="0">
                    <a:latin typeface="Times New Roman" panose="02020603050405020304" pitchFamily="18" charset="0"/>
                    <a:cs typeface="Times New Roman" panose="02020603050405020304" pitchFamily="18" charset="0"/>
                  </a:rPr>
                  <a:t> (mm)</a:t>
                </a:r>
              </a:p>
            </c:rich>
          </c:tx>
          <c:layout>
            <c:manualLayout>
              <c:xMode val="edge"/>
              <c:yMode val="edge"/>
              <c:x val="0.85848447069116363"/>
              <c:y val="0.79997666958296876"/>
            </c:manualLayout>
          </c:layout>
          <c:overlay val="0"/>
        </c:title>
        <c:numFmt formatCode="0.0" sourceLinked="0"/>
        <c:majorTickMark val="out"/>
        <c:minorTickMark val="out"/>
        <c:tickLblPos val="nextTo"/>
        <c:crossAx val="198281856"/>
        <c:crosses val="autoZero"/>
        <c:crossBetween val="midCat"/>
      </c:valAx>
      <c:valAx>
        <c:axId val="198281856"/>
        <c:scaling>
          <c:orientation val="minMax"/>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el-GR" sz="1200" b="0" i="1">
                    <a:latin typeface="Times New Roman" panose="02020603050405020304" pitchFamily="18" charset="0"/>
                    <a:cs typeface="Times New Roman" panose="02020603050405020304" pitchFamily="18" charset="0"/>
                  </a:rPr>
                  <a:t>σ</a:t>
                </a:r>
                <a:r>
                  <a:rPr lang="cs-CZ" sz="1200" b="0">
                    <a:latin typeface="Times New Roman" panose="02020603050405020304" pitchFamily="18" charset="0"/>
                    <a:cs typeface="Times New Roman" panose="02020603050405020304" pitchFamily="18" charset="0"/>
                  </a:rPr>
                  <a:t> (mN </a:t>
                </a:r>
                <a:r>
                  <a:rPr lang="cs-CZ" sz="1200" b="0">
                    <a:latin typeface="Times New Roman"/>
                    <a:cs typeface="Times New Roman"/>
                  </a:rPr>
                  <a:t>∙</a:t>
                </a:r>
                <a:r>
                  <a:rPr lang="cs-CZ" sz="1200" b="0">
                    <a:latin typeface="Times New Roman" panose="02020603050405020304" pitchFamily="18" charset="0"/>
                    <a:cs typeface="Times New Roman" panose="02020603050405020304" pitchFamily="18" charset="0"/>
                  </a:rPr>
                  <a:t> m</a:t>
                </a:r>
                <a:r>
                  <a:rPr lang="cs-CZ" sz="1200" b="0" i="0" u="none" strike="noStrike" baseline="30000">
                    <a:effectLst/>
                  </a:rPr>
                  <a:t>−1</a:t>
                </a:r>
                <a:r>
                  <a:rPr lang="cs-CZ" sz="1200" b="0">
                    <a:latin typeface="Times New Roman" panose="02020603050405020304" pitchFamily="18" charset="0"/>
                    <a:cs typeface="Times New Roman" panose="02020603050405020304" pitchFamily="18" charset="0"/>
                  </a:rPr>
                  <a:t>)</a:t>
                </a:r>
              </a:p>
            </c:rich>
          </c:tx>
          <c:layout>
            <c:manualLayout>
              <c:xMode val="edge"/>
              <c:yMode val="edge"/>
              <c:x val="1.1024305555555556E-2"/>
              <c:y val="9.0475617283950621E-2"/>
            </c:manualLayout>
          </c:layout>
          <c:overlay val="0"/>
        </c:title>
        <c:numFmt formatCode="0" sourceLinked="0"/>
        <c:majorTickMark val="out"/>
        <c:minorTickMark val="none"/>
        <c:tickLblPos val="nextTo"/>
        <c:crossAx val="19827993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1572</Words>
  <Characters>9280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3</cp:revision>
  <cp:lastPrinted>2016-01-24T10:12:00Z</cp:lastPrinted>
  <dcterms:created xsi:type="dcterms:W3CDTF">2016-01-24T10:11:00Z</dcterms:created>
  <dcterms:modified xsi:type="dcterms:W3CDTF">2016-01-24T10:12:00Z</dcterms:modified>
</cp:coreProperties>
</file>