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92" w:rsidRDefault="00672B92" w:rsidP="0087021C">
      <w:pPr>
        <w:pStyle w:val="Podkapitola"/>
        <w:rPr>
          <w:rFonts w:eastAsiaTheme="minorEastAsia"/>
        </w:rPr>
      </w:pPr>
      <w:bookmarkStart w:id="0" w:name="_Toc429589066"/>
      <w:r>
        <w:rPr>
          <w:rFonts w:eastAsiaTheme="minorEastAsia"/>
        </w:rPr>
        <w:t xml:space="preserve">Měření modulů pružnosti </w:t>
      </w:r>
      <w:r w:rsidRPr="00CC3CBD">
        <w:rPr>
          <w:rFonts w:ascii="Times New Roman" w:eastAsiaTheme="minorEastAsia" w:hAnsi="Times New Roman"/>
          <w:i/>
        </w:rPr>
        <w:t>G</w:t>
      </w:r>
      <w:r>
        <w:rPr>
          <w:rFonts w:eastAsiaTheme="minorEastAsia"/>
        </w:rPr>
        <w:t xml:space="preserve"> a </w:t>
      </w:r>
      <w:r w:rsidRPr="00CC3CBD">
        <w:rPr>
          <w:rFonts w:ascii="Times New Roman" w:eastAsiaTheme="minorEastAsia" w:hAnsi="Times New Roman"/>
          <w:i/>
        </w:rPr>
        <w:t>E</w:t>
      </w:r>
      <w:r>
        <w:rPr>
          <w:rFonts w:eastAsiaTheme="minorEastAsia"/>
        </w:rPr>
        <w:t xml:space="preserve"> z periody kmitů pružiny</w:t>
      </w:r>
      <w:bookmarkEnd w:id="0"/>
    </w:p>
    <w:p w:rsidR="00672B92" w:rsidRPr="009D22E0" w:rsidRDefault="00672B92" w:rsidP="00672B92">
      <w:pPr>
        <w:rPr>
          <w:sz w:val="24"/>
          <w:szCs w:val="24"/>
        </w:rPr>
      </w:pPr>
      <w:r>
        <w:br/>
      </w:r>
      <w:r w:rsidRPr="009D22E0">
        <w:rPr>
          <w:rFonts w:ascii="Times New Roman" w:hAnsi="Times New Roman" w:cs="Times New Roman"/>
          <w:sz w:val="24"/>
          <w:szCs w:val="24"/>
        </w:rPr>
        <w:t xml:space="preserve">Online: </w:t>
      </w:r>
      <w:hyperlink r:id="rId5" w:history="1">
        <w:r w:rsidRPr="009D22E0">
          <w:rPr>
            <w:rStyle w:val="Hypertextovodkaz"/>
            <w:rFonts w:ascii="Times New Roman" w:hAnsi="Times New Roman" w:cs="Times New Roman"/>
            <w:sz w:val="24"/>
            <w:szCs w:val="24"/>
          </w:rPr>
          <w:t>http://www.sclpx.eu/lab2R.php?exp=2</w:t>
        </w:r>
      </w:hyperlink>
      <w:r w:rsidRPr="009D2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B92" w:rsidRDefault="00672B92" w:rsidP="00672B92">
      <w:pPr>
        <w:pStyle w:val="Bntextrga"/>
        <w:spacing w:line="360" w:lineRule="auto"/>
        <w:ind w:firstLine="708"/>
        <w:jc w:val="both"/>
      </w:pPr>
      <w:r>
        <w:t xml:space="preserve">V tomto experimentu vycházíme z pojetí klasického pokusu s pružinovým oscilátorem. Z periody kmitů se obvykle určuje tuhost pružiny. Měření modulu pružnosti ve smyku dynamickou metodou přesahuje obvyklý rámec středoškolského učiva a patří spíše do laboratorního praktika na vysoké škole. Na gymnáziu lze úlohu realizovat v rámci semináře, kde lze se žáky probrat souvislost mezi </w:t>
      </w:r>
      <w:r>
        <w:rPr>
          <w:i/>
        </w:rPr>
        <w:t>Youngovým</w:t>
      </w:r>
      <w:r w:rsidRPr="003870D6">
        <w:rPr>
          <w:i/>
        </w:rPr>
        <w:t xml:space="preserve"> modul</w:t>
      </w:r>
      <w:r>
        <w:rPr>
          <w:i/>
        </w:rPr>
        <w:t>em</w:t>
      </w:r>
      <w:r>
        <w:t xml:space="preserve"> </w:t>
      </w:r>
      <w:r>
        <w:rPr>
          <w:i/>
        </w:rPr>
        <w:t>E</w:t>
      </w:r>
      <w:r>
        <w:t>, který znají z </w:t>
      </w:r>
      <w:r w:rsidRPr="003870D6">
        <w:rPr>
          <w:i/>
        </w:rPr>
        <w:t>Hookova zákona</w:t>
      </w:r>
      <w:r>
        <w:t xml:space="preserve"> jako </w:t>
      </w:r>
      <w:r w:rsidRPr="006C5CA2">
        <w:t>modul</w:t>
      </w:r>
      <w:r>
        <w:t xml:space="preserve"> pružnosti v tahu (tlaku), a modulem pružnosti ve smyku </w:t>
      </w:r>
      <w:r>
        <w:rPr>
          <w:i/>
        </w:rPr>
        <w:t>G</w:t>
      </w:r>
      <w:r>
        <w:t>.</w:t>
      </w:r>
    </w:p>
    <w:p w:rsidR="00672B92" w:rsidRPr="00672B92" w:rsidRDefault="00672B92" w:rsidP="00672B92">
      <w:pPr>
        <w:pStyle w:val="Bntextrga"/>
        <w:spacing w:line="360" w:lineRule="auto"/>
        <w:ind w:firstLine="708"/>
        <w:jc w:val="both"/>
      </w:pPr>
      <w:r>
        <w:t xml:space="preserve">Používáme-li při experimentu pružinu, jejíž hmotnost je nezanedbatelná vůči hmotnosti závaží, musíme tuto hmotnost zahrnout do výpočtu periody, viz např. </w:t>
      </w:r>
      <w:r w:rsidRPr="00672B92">
        <w:t>[82].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</w:pPr>
    </w:p>
    <w:p w:rsidR="00672B92" w:rsidRPr="00046C1E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b/>
        </w:rPr>
      </w:pPr>
      <w:r w:rsidRPr="00046C1E">
        <w:rPr>
          <w:b/>
        </w:rPr>
        <w:t>Úvod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</w:pPr>
      <w:r>
        <w:t xml:space="preserve">Jak plyne z klasické teorie pružnosti a zobecněného </w:t>
      </w:r>
      <w:r w:rsidRPr="003870D6">
        <w:rPr>
          <w:i/>
        </w:rPr>
        <w:t>Hookova zákona</w:t>
      </w:r>
      <w:r>
        <w:t xml:space="preserve">, viz např. </w:t>
      </w:r>
      <w:r w:rsidRPr="00672B92">
        <w:t xml:space="preserve">[5], [20], </w:t>
      </w:r>
      <w:r>
        <w:t xml:space="preserve">tuhost spirálové pružiny závisí na velikosti modulu pružnosti ve smyku </w:t>
      </w:r>
      <w:r>
        <w:rPr>
          <w:i/>
        </w:rPr>
        <w:t>G</w:t>
      </w:r>
      <w:r>
        <w:t xml:space="preserve">, který je jako základní elastická konstanta </w:t>
      </w:r>
      <m:oMath>
        <m:r>
          <w:rPr>
            <w:rFonts w:ascii="Cambria Math" w:hAnsi="Cambria Math"/>
          </w:rPr>
          <m:t>μ</m:t>
        </m:r>
      </m:oMath>
      <w:r>
        <w:rPr>
          <w:rFonts w:eastAsiaTheme="minorEastAsia"/>
        </w:rPr>
        <w:t xml:space="preserve"> pro homogenní izotropní těleso </w:t>
      </w:r>
      <w:r>
        <w:t>také znám jako jeden z </w:t>
      </w:r>
      <w:r w:rsidRPr="00460033">
        <w:rPr>
          <w:i/>
        </w:rPr>
        <w:t>Lamého konstant</w:t>
      </w:r>
      <w:r>
        <w:t>. Pro výpočet tuhosti pružiny platí tedy následující vztah (2.2.1):</w:t>
      </w:r>
    </w:p>
    <w:p w:rsidR="00672B92" w:rsidRPr="002B6C5B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G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 xml:space="preserve">8 n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,                                                                (2.2.1)</m:t>
          </m:r>
        </m:oMath>
      </m:oMathPara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kde </w:t>
      </w:r>
      <w:r>
        <w:rPr>
          <w:rFonts w:eastAsiaTheme="minorEastAsia"/>
          <w:i/>
        </w:rPr>
        <w:t>d</w:t>
      </w:r>
      <w:r>
        <w:rPr>
          <w:rFonts w:eastAsiaTheme="minorEastAsia"/>
        </w:rPr>
        <w:t xml:space="preserve"> je průměr drátu, ze kterého je pružina vyrobena,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 je počet závitů pružiny a </w:t>
      </w:r>
      <w:r>
        <w:rPr>
          <w:rFonts w:eastAsiaTheme="minorEastAsia"/>
          <w:i/>
        </w:rPr>
        <w:t>D</w:t>
      </w:r>
      <w:r>
        <w:rPr>
          <w:rFonts w:eastAsiaTheme="minorEastAsia"/>
        </w:rPr>
        <w:t xml:space="preserve"> je střední průměr spirály pružiny, jak ukazuje obrázek 2.2.1.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60D6C6D1" wp14:editId="2A96241B">
            <wp:extent cx="3600450" cy="1647825"/>
            <wp:effectExtent l="0" t="0" r="0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uzina-prumery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2"/>
                    <a:stretch/>
                  </pic:blipFill>
                  <pic:spPr bwMode="auto">
                    <a:xfrm>
                      <a:off x="0" y="0"/>
                      <a:ext cx="3600000" cy="1647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B92" w:rsidRPr="007A2BCA" w:rsidRDefault="00672B92" w:rsidP="00672B92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2.2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1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Rozbor pružiny</w:t>
      </w:r>
      <w:r w:rsidRPr="007A2BCA">
        <w:rPr>
          <w:rFonts w:eastAsiaTheme="minorEastAsia"/>
          <w:sz w:val="20"/>
          <w:szCs w:val="20"/>
        </w:rPr>
        <w:t xml:space="preserve"> – Měření </w:t>
      </w:r>
      <w:r>
        <w:rPr>
          <w:rFonts w:eastAsiaTheme="minorEastAsia"/>
          <w:sz w:val="20"/>
          <w:szCs w:val="20"/>
        </w:rPr>
        <w:t>modulu pružnosti ve smyku a Youngova modulu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</w:pPr>
    </w:p>
    <w:p w:rsidR="00672B92" w:rsidRDefault="00672B92" w:rsidP="00672B92">
      <w:pPr>
        <w:pStyle w:val="Bntextrga"/>
        <w:tabs>
          <w:tab w:val="left" w:pos="709"/>
        </w:tabs>
        <w:spacing w:line="360" w:lineRule="auto"/>
      </w:pPr>
      <w:r>
        <w:lastRenderedPageBreak/>
        <w:t xml:space="preserve">Pro frekvenci kmitů pružinového oscilátoru pak platí obecný vztah (2.2.2): </w:t>
      </w:r>
    </w:p>
    <w:p w:rsidR="00672B92" w:rsidRPr="003A7F86" w:rsidRDefault="00672B92" w:rsidP="00672B92">
      <w:pPr>
        <w:pStyle w:val="Bntextrga"/>
        <w:tabs>
          <w:tab w:val="left" w:pos="709"/>
        </w:tabs>
        <w:spacing w:line="360" w:lineRule="auto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m+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den>
              </m:f>
            </m:e>
          </m:rad>
          <m:r>
            <w:rPr>
              <w:rFonts w:ascii="Cambria Math" w:eastAsiaTheme="minorEastAsia" w:hAnsi="Cambria Math"/>
            </w:rPr>
            <m:t>,                                                        (2.2.2)</m:t>
          </m:r>
        </m:oMath>
      </m:oMathPara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rPr>
          <w:rFonts w:eastAsiaTheme="minorEastAsia"/>
        </w:rPr>
      </w:pPr>
      <w:proofErr w:type="gramStart"/>
      <w:r>
        <w:rPr>
          <w:rFonts w:eastAsiaTheme="minorEastAsia"/>
        </w:rPr>
        <w:t xml:space="preserve">kde </w:t>
      </w:r>
      <w:r>
        <w:rPr>
          <w:rFonts w:eastAsiaTheme="minorEastAsia"/>
          <w:i/>
        </w:rPr>
        <w:t>k</w:t>
      </w:r>
      <w:r>
        <w:rPr>
          <w:rFonts w:eastAsiaTheme="minorEastAsia"/>
        </w:rPr>
        <w:t> je</w:t>
      </w:r>
      <w:proofErr w:type="gramEnd"/>
      <w:r>
        <w:rPr>
          <w:rFonts w:eastAsiaTheme="minorEastAsia"/>
        </w:rPr>
        <w:t xml:space="preserve"> tuhost pružiny, </w:t>
      </w:r>
      <w:r>
        <w:rPr>
          <w:rFonts w:eastAsiaTheme="minorEastAsia"/>
          <w:i/>
        </w:rPr>
        <w:t>m</w:t>
      </w:r>
      <w:r>
        <w:rPr>
          <w:rFonts w:eastAsiaTheme="minorEastAsia"/>
        </w:rPr>
        <w:t xml:space="preserve"> je celková hmotnost závaží zavěšeného na pružinu a </w:t>
      </w:r>
      <w:r>
        <w:rPr>
          <w:rFonts w:eastAsiaTheme="minorEastAsia"/>
          <w:i/>
        </w:rPr>
        <w:t>m</w:t>
      </w:r>
      <w:r>
        <w:rPr>
          <w:rFonts w:eastAsiaTheme="minorEastAsia"/>
          <w:vertAlign w:val="subscript"/>
        </w:rPr>
        <w:t>p</w:t>
      </w:r>
      <w:r>
        <w:rPr>
          <w:rFonts w:eastAsiaTheme="minorEastAsia"/>
        </w:rPr>
        <w:t xml:space="preserve"> je hmotnost pružiny, </w:t>
      </w:r>
      <w:r>
        <w:t xml:space="preserve">viz </w:t>
      </w:r>
      <w:r w:rsidRPr="00672B92">
        <w:t>[82].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ab/>
        <w:t xml:space="preserve">Dosadíme-li ze vztahu (2.2.2) do vztahu (2.2.1) za tuhost pružiny </w:t>
      </w:r>
      <w:r>
        <w:rPr>
          <w:rFonts w:eastAsiaTheme="minorEastAsia"/>
          <w:i/>
        </w:rPr>
        <w:t>k</w:t>
      </w:r>
      <w:r>
        <w:rPr>
          <w:rFonts w:eastAsiaTheme="minorEastAsia"/>
        </w:rPr>
        <w:t xml:space="preserve">, získáme výsledný vztah (2.2.3) pro modul pružnosti ve smyku </w:t>
      </w:r>
      <w:r>
        <w:rPr>
          <w:rFonts w:eastAsiaTheme="minorEastAsia"/>
          <w:i/>
        </w:rPr>
        <w:t>G</w:t>
      </w:r>
      <w:r>
        <w:rPr>
          <w:rFonts w:eastAsiaTheme="minorEastAsia"/>
        </w:rPr>
        <w:t xml:space="preserve"> v závislosti na frekvenci kmitů pružiny </w:t>
      </w:r>
      <w:r>
        <w:rPr>
          <w:rFonts w:eastAsiaTheme="minorEastAsia"/>
          <w:i/>
        </w:rPr>
        <w:t>f:</w:t>
      </w:r>
    </w:p>
    <w:p w:rsidR="00672B92" w:rsidRPr="00F5727B" w:rsidRDefault="00672B92" w:rsidP="00672B92">
      <w:pPr>
        <w:pStyle w:val="Bntextrga"/>
        <w:tabs>
          <w:tab w:val="left" w:pos="709"/>
        </w:tabs>
        <w:spacing w:line="360" w:lineRule="auto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G=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32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n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32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n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                       (2.2.3)</m:t>
          </m:r>
        </m:oMath>
      </m:oMathPara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Na závěr uveďme ještě i vztah (2.2.4) mezi </w:t>
      </w:r>
      <w:r w:rsidRPr="00CB6483">
        <w:rPr>
          <w:rFonts w:eastAsiaTheme="minorEastAsia"/>
          <w:i/>
        </w:rPr>
        <w:t>Youngovým modulem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E</w:t>
      </w:r>
      <w:r>
        <w:rPr>
          <w:rFonts w:eastAsiaTheme="minorEastAsia"/>
        </w:rPr>
        <w:t xml:space="preserve"> a modulem pružnosti ve smyku </w:t>
      </w:r>
      <w:r>
        <w:rPr>
          <w:rFonts w:eastAsiaTheme="minorEastAsia"/>
          <w:i/>
        </w:rPr>
        <w:t>G</w:t>
      </w:r>
      <w:r>
        <w:rPr>
          <w:rFonts w:eastAsiaTheme="minorEastAsia"/>
        </w:rPr>
        <w:t>:</w:t>
      </w:r>
    </w:p>
    <w:p w:rsidR="00672B92" w:rsidRPr="00D848C3" w:rsidRDefault="00672B92" w:rsidP="00672B92">
      <w:pPr>
        <w:pStyle w:val="Bntextrga"/>
        <w:tabs>
          <w:tab w:val="left" w:pos="709"/>
        </w:tabs>
        <w:spacing w:line="360" w:lineRule="auto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G=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1+σ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,                                                              (2.2.4)</m:t>
          </m:r>
        </m:oMath>
      </m:oMathPara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kde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je bezrozměrná</w:t>
      </w:r>
      <w:r w:rsidR="00F26E05">
        <w:rPr>
          <w:rFonts w:eastAsiaTheme="minorEastAsia"/>
        </w:rPr>
        <w:t>,</w:t>
      </w:r>
      <w:r>
        <w:rPr>
          <w:rFonts w:eastAsiaTheme="minorEastAsia"/>
        </w:rPr>
        <w:t xml:space="preserve"> tzv. </w:t>
      </w:r>
      <w:r w:rsidRPr="00227748">
        <w:rPr>
          <w:rFonts w:eastAsiaTheme="minorEastAsia"/>
          <w:i/>
        </w:rPr>
        <w:t>Poissonova konstanta</w:t>
      </w:r>
      <w:r>
        <w:rPr>
          <w:rFonts w:eastAsiaTheme="minorEastAsia"/>
        </w:rPr>
        <w:t xml:space="preserve"> (pozor, nezaměňovat se stejně pojmenovanou konstantou užívanou u adiabatického děje v teorii plynů), kterou lze určit z </w:t>
      </w:r>
      <w:r w:rsidRPr="005A1BBB">
        <w:rPr>
          <w:rFonts w:eastAsiaTheme="minorEastAsia"/>
          <w:i/>
        </w:rPr>
        <w:t>Lamého koeficientů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λ, μ</m:t>
        </m:r>
      </m:oMath>
      <w:r>
        <w:rPr>
          <w:rFonts w:eastAsiaTheme="minorEastAsia"/>
        </w:rPr>
        <w:t xml:space="preserve"> podle vztahu (2.2.5):</w:t>
      </w:r>
    </w:p>
    <w:p w:rsidR="00672B92" w:rsidRPr="0043147B" w:rsidRDefault="00672B92" w:rsidP="00672B92">
      <w:pPr>
        <w:pStyle w:val="Bntextrga"/>
        <w:tabs>
          <w:tab w:val="left" w:pos="709"/>
        </w:tabs>
        <w:spacing w:line="360" w:lineRule="auto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σ=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λ+μ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                                                             (2.2.5)</m:t>
          </m:r>
        </m:oMath>
      </m:oMathPara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Tato konstanta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představuje hodnotu poměru relativního příčného zkrácení k relativnímu podélnému prodloužení a je vždy kladná </w:t>
      </w:r>
      <w:r w:rsidRPr="00672B92">
        <w:rPr>
          <w:rFonts w:eastAsiaTheme="minorEastAsia"/>
        </w:rPr>
        <w:t xml:space="preserve">[5]. </w:t>
      </w:r>
      <w:r w:rsidRPr="00A718BC">
        <w:rPr>
          <w:rFonts w:eastAsiaTheme="minorEastAsia"/>
        </w:rPr>
        <w:t>Tabulkové hodnoty pro ocel a železo</w:t>
      </w:r>
      <w:r>
        <w:rPr>
          <w:rFonts w:eastAsiaTheme="minorEastAsia"/>
        </w:rPr>
        <w:t xml:space="preserve">, které jsou nejčastějším materiálem pro výrobu pružin, udává následující tabulka 2.2.1. </w:t>
      </w:r>
    </w:p>
    <w:p w:rsidR="00672B92" w:rsidRDefault="00672B92" w:rsidP="00672B92">
      <w:pPr>
        <w:pStyle w:val="Bntextrga"/>
        <w:spacing w:after="0" w:line="360" w:lineRule="auto"/>
        <w:rPr>
          <w:rFonts w:eastAsiaTheme="minorEastAsia"/>
          <w:b/>
          <w:szCs w:val="24"/>
        </w:rPr>
      </w:pPr>
    </w:p>
    <w:p w:rsidR="00672B92" w:rsidRDefault="00672B92" w:rsidP="00672B92">
      <w:pPr>
        <w:pStyle w:val="Bntextrga"/>
        <w:spacing w:after="0"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Tabulka 2.2.1</w:t>
      </w:r>
      <w:r>
        <w:rPr>
          <w:rFonts w:eastAsiaTheme="minorEastAsia"/>
          <w:szCs w:val="24"/>
        </w:rPr>
        <w:t xml:space="preserve"> Tabulkové hodnoty </w:t>
      </w:r>
      <m:oMath>
        <m:r>
          <w:rPr>
            <w:rFonts w:ascii="Cambria Math" w:eastAsiaTheme="minorEastAsia" w:hAnsi="Cambria Math"/>
          </w:rPr>
          <m:t>σ, E, G</m:t>
        </m:r>
      </m:oMath>
      <w:r>
        <w:rPr>
          <w:rFonts w:eastAsiaTheme="minorEastAsia"/>
        </w:rPr>
        <w:t xml:space="preserve"> pro ocel a železo</w:t>
      </w:r>
    </w:p>
    <w:tbl>
      <w:tblPr>
        <w:tblStyle w:val="Mkatabulky"/>
        <w:tblW w:w="51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278"/>
        <w:gridCol w:w="1278"/>
        <w:gridCol w:w="1278"/>
      </w:tblGrid>
      <w:tr w:rsidR="00672B92" w:rsidTr="00384E88">
        <w:trPr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Pr="004707A1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 w:rsidRPr="004707A1">
              <w:rPr>
                <w:rFonts w:eastAsiaTheme="minorEastAsia"/>
              </w:rPr>
              <w:t>materiál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Pr="00F72E96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Pr="003F686C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G</w:t>
            </w:r>
            <w:r>
              <w:rPr>
                <w:rFonts w:eastAsiaTheme="minorEastAsia"/>
              </w:rPr>
              <w:t xml:space="preserve"> (</w:t>
            </w:r>
            <w:proofErr w:type="spellStart"/>
            <w:r>
              <w:rPr>
                <w:rFonts w:eastAsiaTheme="minorEastAsia"/>
              </w:rPr>
              <w:t>GPa</w:t>
            </w:r>
            <w:proofErr w:type="spellEnd"/>
            <w:r>
              <w:rPr>
                <w:rFonts w:eastAsiaTheme="minorEastAsia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E</w:t>
            </w:r>
            <w:r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/>
              </w:rPr>
              <w:t>(</w:t>
            </w:r>
            <w:proofErr w:type="spellStart"/>
            <w:r>
              <w:rPr>
                <w:rFonts w:eastAsiaTheme="minorEastAsia"/>
              </w:rPr>
              <w:t>GPa</w:t>
            </w:r>
            <w:proofErr w:type="spellEnd"/>
            <w:r>
              <w:rPr>
                <w:rFonts w:eastAsiaTheme="minorEastAsia"/>
              </w:rPr>
              <w:t>)</w:t>
            </w:r>
          </w:p>
        </w:tc>
      </w:tr>
      <w:tr w:rsidR="00672B92" w:rsidTr="00384E88">
        <w:trPr>
          <w:jc w:val="center"/>
        </w:trPr>
        <w:tc>
          <w:tcPr>
            <w:tcW w:w="1278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ocel 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0,30 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85 – 88 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220 – 240 </w:t>
            </w:r>
          </w:p>
        </w:tc>
      </w:tr>
      <w:tr w:rsidR="00672B92" w:rsidTr="00384E88">
        <w:trPr>
          <w:jc w:val="center"/>
        </w:trPr>
        <w:tc>
          <w:tcPr>
            <w:tcW w:w="127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železo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0,28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82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72B92" w:rsidRDefault="00672B92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210 </w:t>
            </w:r>
          </w:p>
        </w:tc>
      </w:tr>
    </w:tbl>
    <w:p w:rsidR="00672B92" w:rsidRDefault="00672B92" w:rsidP="00672B92">
      <w:pPr>
        <w:pStyle w:val="Bntextrga"/>
        <w:tabs>
          <w:tab w:val="left" w:pos="709"/>
        </w:tabs>
        <w:spacing w:line="360" w:lineRule="auto"/>
      </w:pPr>
    </w:p>
    <w:p w:rsidR="00672B92" w:rsidRDefault="00672B92" w:rsidP="00672B92">
      <w:pPr>
        <w:pStyle w:val="Bntextrga"/>
        <w:tabs>
          <w:tab w:val="left" w:pos="709"/>
        </w:tabs>
        <w:spacing w:line="360" w:lineRule="auto"/>
      </w:pPr>
    </w:p>
    <w:p w:rsidR="00672B92" w:rsidRDefault="00672B92" w:rsidP="00672B92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lastRenderedPageBreak/>
        <w:t>Pomůcky:</w:t>
      </w:r>
      <w:r>
        <w:rPr>
          <w:rFonts w:eastAsiaTheme="minorEastAsia"/>
          <w:szCs w:val="24"/>
        </w:rPr>
        <w:t xml:space="preserve"> monogate, pružina, závaží, izolepa, špejle, digitální váhy, stativový materiál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Experimentální uspořádání je na obrázku 2.2.2. Nejprve zvážíme na digitálních váhách pružinu a určíme její hmotnost </w:t>
      </w:r>
      <w:r>
        <w:rPr>
          <w:rFonts w:eastAsiaTheme="minorEastAsia"/>
          <w:i/>
          <w:szCs w:val="24"/>
        </w:rPr>
        <w:t>m</w:t>
      </w:r>
      <w:r>
        <w:rPr>
          <w:rFonts w:eastAsiaTheme="minorEastAsia"/>
          <w:szCs w:val="24"/>
          <w:vertAlign w:val="subscript"/>
        </w:rPr>
        <w:t>p</w:t>
      </w:r>
      <w:r>
        <w:rPr>
          <w:rFonts w:eastAsiaTheme="minorEastAsia"/>
          <w:szCs w:val="24"/>
        </w:rPr>
        <w:t xml:space="preserve">. Posuvným měřidlem změříme vnější a vnitřní průměr spirály </w:t>
      </w:r>
      <w:r w:rsidRPr="006229A6">
        <w:rPr>
          <w:rFonts w:eastAsiaTheme="minorEastAsia"/>
          <w:i/>
          <w:szCs w:val="24"/>
        </w:rPr>
        <w:t>D</w:t>
      </w:r>
      <w:r w:rsidRPr="006229A6">
        <w:rPr>
          <w:rFonts w:eastAsiaTheme="minorEastAsia"/>
          <w:szCs w:val="24"/>
          <w:vertAlign w:val="subscript"/>
        </w:rPr>
        <w:t>1</w:t>
      </w:r>
      <w:r>
        <w:rPr>
          <w:rFonts w:eastAsiaTheme="minorEastAsia"/>
          <w:szCs w:val="24"/>
        </w:rPr>
        <w:t>, resp.</w:t>
      </w:r>
      <w:r w:rsidRPr="006229A6">
        <w:rPr>
          <w:rFonts w:eastAsiaTheme="minorEastAsia"/>
          <w:i/>
          <w:szCs w:val="24"/>
        </w:rPr>
        <w:t xml:space="preserve"> D</w:t>
      </w:r>
      <w:r>
        <w:rPr>
          <w:rFonts w:eastAsiaTheme="minorEastAsia"/>
          <w:szCs w:val="24"/>
          <w:vertAlign w:val="subscript"/>
        </w:rPr>
        <w:t>2</w:t>
      </w:r>
      <w:r>
        <w:rPr>
          <w:rFonts w:eastAsiaTheme="minorEastAsia"/>
          <w:szCs w:val="24"/>
        </w:rPr>
        <w:t xml:space="preserve">. Střední průměr </w:t>
      </w:r>
      <w:r>
        <w:rPr>
          <w:rFonts w:eastAsiaTheme="minorEastAsia"/>
          <w:i/>
          <w:szCs w:val="24"/>
        </w:rPr>
        <w:t>D</w:t>
      </w:r>
      <w:r>
        <w:rPr>
          <w:rFonts w:eastAsiaTheme="minorEastAsia"/>
          <w:szCs w:val="24"/>
        </w:rPr>
        <w:t xml:space="preserve"> vypočítáme jako aritmetický průměr hodnot </w:t>
      </w:r>
      <w:r w:rsidRPr="006229A6">
        <w:rPr>
          <w:rFonts w:eastAsiaTheme="minorEastAsia"/>
          <w:i/>
          <w:szCs w:val="24"/>
        </w:rPr>
        <w:t>D</w:t>
      </w:r>
      <w:r w:rsidRPr="006229A6">
        <w:rPr>
          <w:rFonts w:eastAsiaTheme="minorEastAsia"/>
          <w:szCs w:val="24"/>
          <w:vertAlign w:val="subscript"/>
        </w:rPr>
        <w:t>1</w:t>
      </w:r>
      <w:r>
        <w:rPr>
          <w:rFonts w:eastAsiaTheme="minorEastAsia"/>
          <w:szCs w:val="24"/>
        </w:rPr>
        <w:t xml:space="preserve"> a </w:t>
      </w:r>
      <w:r w:rsidRPr="006229A6">
        <w:rPr>
          <w:rFonts w:eastAsiaTheme="minorEastAsia"/>
          <w:i/>
          <w:szCs w:val="24"/>
        </w:rPr>
        <w:t>D</w:t>
      </w:r>
      <w:r>
        <w:rPr>
          <w:rFonts w:eastAsiaTheme="minorEastAsia"/>
          <w:szCs w:val="24"/>
          <w:vertAlign w:val="subscript"/>
        </w:rPr>
        <w:t>2</w:t>
      </w:r>
      <w:r>
        <w:rPr>
          <w:rFonts w:eastAsiaTheme="minorEastAsia"/>
          <w:szCs w:val="24"/>
        </w:rPr>
        <w:t>. Dále zjistíme ještě hmotnost závaží, které budeme věšet na pružinu, a počet závitů pružiny.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 w:rsidRPr="006229A6">
        <w:rPr>
          <w:rFonts w:eastAsiaTheme="minorEastAsia"/>
          <w:szCs w:val="24"/>
        </w:rPr>
        <w:t>Na</w:t>
      </w:r>
      <w:r>
        <w:rPr>
          <w:rFonts w:eastAsiaTheme="minorEastAsia"/>
          <w:szCs w:val="24"/>
        </w:rPr>
        <w:t xml:space="preserve"> závaží připevníme pomocí izolepy špejli a monogate sestavíme v horizontální poloze tak, aby v rovnovážné poloze oscilátoru (oscilátor je v klidu) mířil laserový paprsek na špejli.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5CF3F407" wp14:editId="15E590AE">
            <wp:extent cx="5760085" cy="3239770"/>
            <wp:effectExtent l="0" t="0" r="0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_urceni_modulu_pruznosti_ve_smyk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92" w:rsidRPr="007A2BCA" w:rsidRDefault="00672B92" w:rsidP="00672B92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2.2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2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Uspořádání experimentu</w:t>
      </w:r>
      <w:r w:rsidRPr="007A2BCA">
        <w:rPr>
          <w:rFonts w:eastAsiaTheme="minorEastAsia"/>
          <w:sz w:val="20"/>
          <w:szCs w:val="20"/>
        </w:rPr>
        <w:t xml:space="preserve"> – Měření </w:t>
      </w:r>
      <w:r>
        <w:rPr>
          <w:rFonts w:eastAsiaTheme="minorEastAsia"/>
          <w:sz w:val="20"/>
          <w:szCs w:val="20"/>
        </w:rPr>
        <w:t xml:space="preserve">modulu pružnosti 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</w:pPr>
      <w:r>
        <w:t>Oscilátor rozkmitáme a ve FAE provedeme záznam signálu, který můžeme vidět na obrázku 2.2.3. Modře je zvýrazněn výběr jedné periody mezi prvním a třetím píkem signálu.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</w:pPr>
      <w:r>
        <w:tab/>
        <w:t xml:space="preserve">Experimentálně určenou hodnotu periody </w:t>
      </w:r>
      <w:r>
        <w:rPr>
          <w:i/>
        </w:rPr>
        <w:t>T</w:t>
      </w:r>
      <w:r>
        <w:t xml:space="preserve"> spolu s ostatními hodnotami veličin dosadíme do vztahu (2.2.3) a provedeme výpočet modulu pružnosti ve smyku </w:t>
      </w:r>
      <w:r w:rsidRPr="00C6671B">
        <w:rPr>
          <w:i/>
        </w:rPr>
        <w:t>G</w:t>
      </w:r>
      <w:r>
        <w:t xml:space="preserve"> a </w:t>
      </w:r>
      <w:r w:rsidRPr="000273CD">
        <w:rPr>
          <w:i/>
        </w:rPr>
        <w:t>Youngova modulu</w:t>
      </w:r>
      <w:r>
        <w:t xml:space="preserve"> </w:t>
      </w:r>
      <w:r w:rsidRPr="00C6671B">
        <w:rPr>
          <w:i/>
        </w:rPr>
        <w:t>E</w:t>
      </w:r>
      <w:r>
        <w:t xml:space="preserve">. </w:t>
      </w:r>
    </w:p>
    <w:p w:rsidR="00672B92" w:rsidRPr="00AC5136" w:rsidRDefault="00672B92" w:rsidP="00672B92">
      <w:pPr>
        <w:pStyle w:val="Bntextrga"/>
        <w:tabs>
          <w:tab w:val="left" w:pos="709"/>
        </w:tabs>
        <w:spacing w:line="360" w:lineRule="auto"/>
        <w:jc w:val="both"/>
      </w:pPr>
      <w:r>
        <w:tab/>
        <w:t xml:space="preserve">Experiment opakujeme několikrát (minimálně pětkrát) pro různé hodnoty hmotnosti závaží </w:t>
      </w:r>
      <w:r>
        <w:rPr>
          <w:i/>
        </w:rPr>
        <w:t>m</w:t>
      </w:r>
      <w:r>
        <w:t>, přičemž před začátkem nového měření s novým závažím znovu nastavíme polohu monogatu tak, aby laser mířil na špejli.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22EC186A" wp14:editId="56714CA2">
            <wp:extent cx="5760085" cy="3239770"/>
            <wp:effectExtent l="0" t="0" r="0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_oscilogram_kmity_pruzi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92" w:rsidRPr="00652A4B" w:rsidRDefault="00672B92" w:rsidP="00672B92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2.2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3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Oscilogram experimentu</w:t>
      </w:r>
      <w:r w:rsidRPr="007A2BCA">
        <w:rPr>
          <w:rFonts w:eastAsiaTheme="minorEastAsia"/>
          <w:sz w:val="20"/>
          <w:szCs w:val="20"/>
        </w:rPr>
        <w:t xml:space="preserve"> – Měření </w:t>
      </w:r>
      <w:r>
        <w:rPr>
          <w:rFonts w:eastAsiaTheme="minorEastAsia"/>
          <w:sz w:val="20"/>
          <w:szCs w:val="20"/>
        </w:rPr>
        <w:t>modulu pružnosti – výběr jedné periody</w:t>
      </w:r>
    </w:p>
    <w:p w:rsidR="00672B92" w:rsidRDefault="00672B92" w:rsidP="00672B92">
      <w:pPr>
        <w:pStyle w:val="Bntextrga"/>
        <w:spacing w:line="360" w:lineRule="auto"/>
        <w:jc w:val="both"/>
        <w:rPr>
          <w:rFonts w:eastAsiaTheme="minorEastAsia"/>
          <w:szCs w:val="24"/>
        </w:rPr>
      </w:pPr>
    </w:p>
    <w:p w:rsidR="00672B92" w:rsidRPr="00C830E9" w:rsidRDefault="00672B92" w:rsidP="00672B92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Absolutní </w:t>
      </w:r>
      <w:r w:rsidR="0087021C">
        <w:rPr>
          <w:rFonts w:eastAsiaTheme="minorEastAsia"/>
          <w:szCs w:val="24"/>
        </w:rPr>
        <w:t>nejistotu</w:t>
      </w:r>
      <w:r>
        <w:rPr>
          <w:rFonts w:eastAsiaTheme="minorEastAsia"/>
          <w:szCs w:val="24"/>
        </w:rPr>
        <w:t xml:space="preserve"> v určení modulu pružnosti ve smyku </w:t>
      </w:r>
      <w:r>
        <w:rPr>
          <w:rFonts w:eastAsiaTheme="minorEastAsia"/>
          <w:i/>
          <w:szCs w:val="24"/>
        </w:rPr>
        <w:t>G</w:t>
      </w:r>
      <w:r w:rsidRPr="00C830E9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vypočítáme</w:t>
      </w:r>
      <w:r w:rsidRPr="00C830E9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pomocí analytických nástrojů MS Excel z následujícího vztahu (2.2.6)</w:t>
      </w:r>
    </w:p>
    <w:p w:rsidR="00672B92" w:rsidRPr="00216921" w:rsidRDefault="00672B92" w:rsidP="00672B92">
      <w:pPr>
        <w:pStyle w:val="Bntextrga"/>
        <w:spacing w:line="360" w:lineRule="auto"/>
        <w:jc w:val="center"/>
        <w:rPr>
          <w:rFonts w:eastAsiaTheme="minorEastAsia"/>
          <w:szCs w:val="24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szCs w:val="24"/>
            </w:rPr>
            <m:t>∆G=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Cs w:val="24"/>
                </w:rPr>
                <m:t>G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3∆D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D</m:t>
                      </m:r>
                    </m:e>
                  </m:acc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∆m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m</m:t>
                      </m:r>
                    </m:e>
                  </m:acc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p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4∆d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d</m:t>
                      </m:r>
                    </m:e>
                  </m:acc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2∆f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f</m:t>
                      </m:r>
                    </m:e>
                  </m:acc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>,                                        (2.2.6)</m:t>
          </m:r>
        </m:oMath>
      </m:oMathPara>
    </w:p>
    <w:p w:rsidR="00672B92" w:rsidRPr="00C830E9" w:rsidRDefault="00672B92" w:rsidP="00672B92">
      <w:pPr>
        <w:pStyle w:val="Bntextrga"/>
        <w:spacing w:line="360" w:lineRule="auto"/>
        <w:jc w:val="both"/>
        <w:rPr>
          <w:rFonts w:eastAsiaTheme="minorEastAsia"/>
          <w:szCs w:val="24"/>
        </w:rPr>
      </w:pPr>
      <w:r w:rsidRPr="00C830E9">
        <w:rPr>
          <w:rFonts w:eastAsiaTheme="minorEastAsia"/>
          <w:szCs w:val="24"/>
        </w:rPr>
        <w:t xml:space="preserve">který lze za </w:t>
      </w:r>
      <w:r>
        <w:rPr>
          <w:rFonts w:eastAsiaTheme="minorEastAsia"/>
          <w:szCs w:val="24"/>
        </w:rPr>
        <w:t xml:space="preserve">zjednodušujícího předpokladu přesného určení průměrů </w:t>
      </w:r>
      <w:r>
        <w:rPr>
          <w:rFonts w:eastAsiaTheme="minorEastAsia"/>
          <w:i/>
          <w:szCs w:val="24"/>
        </w:rPr>
        <w:t>d</w:t>
      </w:r>
      <w:r>
        <w:rPr>
          <w:rFonts w:eastAsiaTheme="minorEastAsia"/>
          <w:szCs w:val="24"/>
        </w:rPr>
        <w:t xml:space="preserve"> a </w:t>
      </w:r>
      <w:r>
        <w:rPr>
          <w:rFonts w:eastAsiaTheme="minorEastAsia"/>
          <w:i/>
          <w:szCs w:val="24"/>
        </w:rPr>
        <w:t>D</w:t>
      </w:r>
      <w:r>
        <w:rPr>
          <w:rFonts w:eastAsiaTheme="minorEastAsia"/>
          <w:szCs w:val="24"/>
        </w:rPr>
        <w:t>, hmotnosti závaží a hmotnosti pružiny</w:t>
      </w:r>
      <w:r w:rsidRPr="00C830E9">
        <w:rPr>
          <w:rFonts w:eastAsiaTheme="minorEastAsia"/>
          <w:szCs w:val="24"/>
        </w:rPr>
        <w:t xml:space="preserve"> zjednodušit na vz</w:t>
      </w:r>
      <w:r>
        <w:rPr>
          <w:rFonts w:eastAsiaTheme="minorEastAsia"/>
          <w:szCs w:val="24"/>
        </w:rPr>
        <w:t>tah (2.1.3</w:t>
      </w:r>
      <w:r w:rsidRPr="00C830E9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>:</w:t>
      </w:r>
    </w:p>
    <w:p w:rsidR="00672B92" w:rsidRPr="00216921" w:rsidRDefault="00672B92" w:rsidP="00672B92">
      <w:pPr>
        <w:pStyle w:val="Bntextrga"/>
        <w:spacing w:line="360" w:lineRule="auto"/>
        <w:jc w:val="center"/>
        <w:rPr>
          <w:rFonts w:eastAsiaTheme="minorEastAsia"/>
          <w:szCs w:val="24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szCs w:val="24"/>
            </w:rPr>
            <m:t>∆G=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Cs w:val="24"/>
                </w:rPr>
                <m:t>G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2∆T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>=∆E                                                        (2.2.7)</m:t>
          </m:r>
        </m:oMath>
      </m:oMathPara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t xml:space="preserve">Protože podle vztahu (2.2.4) závisí výpočet </w:t>
      </w:r>
      <w:r w:rsidRPr="00B61F4B">
        <w:rPr>
          <w:i/>
        </w:rPr>
        <w:t>Youngova modulu E</w:t>
      </w:r>
      <w:r>
        <w:t xml:space="preserve"> na vynásobení modulu </w:t>
      </w:r>
      <w:r w:rsidRPr="00B61F4B">
        <w:rPr>
          <w:i/>
        </w:rPr>
        <w:t>G</w:t>
      </w:r>
      <w:r>
        <w:t xml:space="preserve"> určitou konstantou, je </w:t>
      </w:r>
      <w:r w:rsidR="0087021C">
        <w:t>nejistota</w:t>
      </w:r>
      <w:r>
        <w:t xml:space="preserve"> měření obou modulů stejná, tj. </w:t>
      </w:r>
      <m:oMath>
        <m:r>
          <w:rPr>
            <w:rFonts w:ascii="Cambria Math" w:eastAsiaTheme="minorEastAsia" w:hAnsi="Cambria Math"/>
            <w:szCs w:val="24"/>
          </w:rPr>
          <m:t>∆G=∆E</m:t>
        </m:r>
      </m:oMath>
      <w:r>
        <w:rPr>
          <w:rFonts w:eastAsiaTheme="minorEastAsia"/>
          <w:szCs w:val="24"/>
        </w:rPr>
        <w:t>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t xml:space="preserve">Námi naměřené hodnoty udává následující tabulka 2.2.2. </w:t>
      </w:r>
      <w:r>
        <w:rPr>
          <w:rFonts w:eastAsiaTheme="minorEastAsia"/>
          <w:szCs w:val="24"/>
        </w:rPr>
        <w:t xml:space="preserve">Na závěr </w:t>
      </w:r>
      <w:r w:rsidRPr="00E377E6">
        <w:rPr>
          <w:rFonts w:eastAsiaTheme="minorEastAsia"/>
          <w:szCs w:val="24"/>
        </w:rPr>
        <w:t xml:space="preserve">vytvoříme graf závislosti </w:t>
      </w:r>
      <w:r>
        <w:rPr>
          <w:rFonts w:eastAsiaTheme="minorEastAsia"/>
          <w:szCs w:val="24"/>
        </w:rPr>
        <w:t>modulu pružnosti ve smyku nebo tahu na periodě kmitů pružiny</w:t>
      </w:r>
      <w:r w:rsidRPr="00E377E6">
        <w:rPr>
          <w:rFonts w:eastAsiaTheme="minorEastAsia"/>
          <w:szCs w:val="24"/>
        </w:rPr>
        <w:t xml:space="preserve">, který doplníme o regresní analýzu (Přidat spojnici trendu). </w:t>
      </w:r>
      <w:r>
        <w:rPr>
          <w:rFonts w:eastAsiaTheme="minorEastAsia"/>
          <w:szCs w:val="24"/>
        </w:rPr>
        <w:t>G</w:t>
      </w:r>
      <w:r w:rsidRPr="00E377E6">
        <w:rPr>
          <w:rFonts w:eastAsiaTheme="minorEastAsia"/>
          <w:szCs w:val="24"/>
        </w:rPr>
        <w:t>raf vy</w:t>
      </w:r>
      <w:r>
        <w:rPr>
          <w:rFonts w:eastAsiaTheme="minorEastAsia"/>
          <w:szCs w:val="24"/>
        </w:rPr>
        <w:t>tvořený na základě tabulky 2.2.2 je na obrázku 2.2.4</w:t>
      </w:r>
      <w:r w:rsidRPr="00E377E6">
        <w:rPr>
          <w:rFonts w:eastAsiaTheme="minorEastAsia"/>
          <w:szCs w:val="24"/>
        </w:rPr>
        <w:t>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</w:p>
    <w:p w:rsidR="00D03E39" w:rsidRDefault="00D03E39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</w:p>
    <w:p w:rsidR="00672B92" w:rsidRPr="0032541C" w:rsidRDefault="00672B92" w:rsidP="00672B92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lastRenderedPageBreak/>
        <w:t>Tabulka 2.2.2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modulu pružnosti ve smyku a Youngova modulu</w:t>
      </w:r>
    </w:p>
    <w:tbl>
      <w:tblPr>
        <w:tblStyle w:val="Mkatabulky3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7"/>
        <w:gridCol w:w="2269"/>
        <w:gridCol w:w="2269"/>
      </w:tblGrid>
      <w:tr w:rsidR="00672B92" w:rsidRPr="0032541C" w:rsidTr="00384E88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 w:rsidRPr="0032541C">
              <w:rPr>
                <w:i/>
              </w:rPr>
              <w:t>m</w:t>
            </w:r>
            <w:r w:rsidRPr="0032541C">
              <w:t xml:space="preserve"> (kg)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72B92" w:rsidRPr="0032541C" w:rsidRDefault="00961614" w:rsidP="00384E88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672B92" w:rsidRPr="0032541C">
              <w:t xml:space="preserve"> (s)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G</m:t>
              </m:r>
            </m:oMath>
            <w:r w:rsidRPr="0032541C">
              <w:t xml:space="preserve"> (</w:t>
            </w:r>
            <w:proofErr w:type="spellStart"/>
            <w:r>
              <w:t>GPa</w:t>
            </w:r>
            <w:proofErr w:type="spellEnd"/>
            <w:r w:rsidRPr="0032541C">
              <w:t>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spacing w:after="120"/>
              <w:jc w:val="center"/>
              <w:rPr>
                <w:rFonts w:eastAsia="Times New Roman"/>
              </w:rPr>
            </w:pPr>
            <m:oMath>
              <m:r>
                <w:rPr>
                  <w:rFonts w:ascii="Cambria Math" w:eastAsia="Times New Roman" w:hAnsi="Cambria Math"/>
                </w:rPr>
                <m:t>E</m:t>
              </m:r>
            </m:oMath>
            <w:r w:rsidRPr="0032541C">
              <w:t xml:space="preserve"> (</w:t>
            </w:r>
            <w:proofErr w:type="spellStart"/>
            <w:r>
              <w:t>GPa</w:t>
            </w:r>
            <w:proofErr w:type="spellEnd"/>
            <w:r w:rsidRPr="0032541C">
              <w:t>)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0,445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0,860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101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262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0,445</w:t>
            </w:r>
          </w:p>
        </w:tc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0,856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102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264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0,445</w:t>
            </w:r>
          </w:p>
        </w:tc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0,848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104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269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0,445</w:t>
            </w:r>
          </w:p>
        </w:tc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0,870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98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256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0,445</w:t>
            </w:r>
          </w:p>
        </w:tc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0,864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100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259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0,545</w:t>
            </w:r>
          </w:p>
        </w:tc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1,013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73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189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0,545</w:t>
            </w:r>
          </w:p>
        </w:tc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1,036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69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180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0,545</w:t>
            </w:r>
          </w:p>
        </w:tc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1,018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72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187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0,545</w:t>
            </w:r>
          </w:p>
        </w:tc>
        <w:tc>
          <w:tcPr>
            <w:tcW w:w="1814" w:type="dxa"/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1,020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 xml:space="preserve"> 72</w:t>
            </w:r>
          </w:p>
        </w:tc>
        <w:tc>
          <w:tcPr>
            <w:tcW w:w="1815" w:type="dxa"/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186</w:t>
            </w:r>
          </w:p>
        </w:tc>
      </w:tr>
      <w:tr w:rsidR="00672B92" w:rsidRPr="0032541C" w:rsidTr="00384E88">
        <w:trPr>
          <w:jc w:val="center"/>
        </w:trPr>
        <w:tc>
          <w:tcPr>
            <w:tcW w:w="18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0,545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72B92" w:rsidRPr="0032541C" w:rsidRDefault="00672B92" w:rsidP="00384E88">
            <w:pPr>
              <w:spacing w:after="120"/>
              <w:jc w:val="center"/>
            </w:pPr>
            <w:r>
              <w:t>1,026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71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72B92" w:rsidRPr="0032541C" w:rsidRDefault="00672B92" w:rsidP="00384E88">
            <w:pPr>
              <w:jc w:val="center"/>
            </w:pPr>
            <w:r>
              <w:t>184</w:t>
            </w:r>
          </w:p>
        </w:tc>
      </w:tr>
    </w:tbl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</w:pPr>
    </w:p>
    <w:p w:rsidR="00D03E39" w:rsidRDefault="00D03E39" w:rsidP="00672B92">
      <w:pPr>
        <w:pStyle w:val="Bntextrga"/>
        <w:tabs>
          <w:tab w:val="left" w:pos="709"/>
        </w:tabs>
        <w:spacing w:line="360" w:lineRule="auto"/>
        <w:jc w:val="both"/>
      </w:pP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767EB4EF" wp14:editId="75F03373">
            <wp:extent cx="5760000" cy="3240000"/>
            <wp:effectExtent l="0" t="0" r="12700" b="17780"/>
            <wp:docPr id="51" name="Graf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2B92" w:rsidRPr="00652A4B" w:rsidRDefault="00672B92" w:rsidP="00672B92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2.2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3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Graf závislosti modulu pružnosti ve smyku na periodě kmitů pružiny</w:t>
      </w:r>
      <w:r w:rsidRPr="007A2BCA">
        <w:rPr>
          <w:rFonts w:eastAsiaTheme="minorEastAsia"/>
          <w:sz w:val="20"/>
          <w:szCs w:val="20"/>
        </w:rPr>
        <w:t xml:space="preserve"> – Měření </w:t>
      </w:r>
      <w:r>
        <w:rPr>
          <w:rFonts w:eastAsiaTheme="minorEastAsia"/>
          <w:sz w:val="20"/>
          <w:szCs w:val="20"/>
        </w:rPr>
        <w:t>modulu pružnosti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</w:pPr>
    </w:p>
    <w:p w:rsidR="00D03E39" w:rsidRDefault="00D03E39" w:rsidP="00672B92">
      <w:pPr>
        <w:pStyle w:val="Bntextrga"/>
        <w:tabs>
          <w:tab w:val="left" w:pos="709"/>
        </w:tabs>
        <w:spacing w:line="360" w:lineRule="auto"/>
      </w:pPr>
    </w:p>
    <w:p w:rsidR="00672B92" w:rsidRPr="00B34DD5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b/>
        </w:rPr>
      </w:pPr>
      <w:r w:rsidRPr="00B34DD5">
        <w:rPr>
          <w:b/>
        </w:rPr>
        <w:lastRenderedPageBreak/>
        <w:t>Závěr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</w:pPr>
      <w:r w:rsidRPr="00916230">
        <w:t xml:space="preserve">Naměřené hodnoty </w:t>
      </w:r>
      <w:r>
        <w:t xml:space="preserve">uvedené v tabulce 2.2.2 </w:t>
      </w:r>
      <w:r w:rsidRPr="00916230">
        <w:t>se celkem</w:t>
      </w:r>
      <w:r>
        <w:t xml:space="preserve"> dobře shodují s tabulkovými hodnotami v tabulce 2.2.1. U oceli</w:t>
      </w:r>
      <w:r w:rsidRPr="00916230">
        <w:t xml:space="preserve"> záleží</w:t>
      </w:r>
      <w:r>
        <w:t xml:space="preserve"> na typu a jejím složení, které</w:t>
      </w:r>
      <w:r w:rsidRPr="00916230">
        <w:t xml:space="preserve"> </w:t>
      </w:r>
      <w:r>
        <w:t xml:space="preserve">však </w:t>
      </w:r>
      <w:r w:rsidRPr="00916230">
        <w:t>většinou neznáme</w:t>
      </w:r>
      <w:r>
        <w:t>.</w:t>
      </w:r>
      <w:r w:rsidRPr="00916230">
        <w:t xml:space="preserve"> </w:t>
      </w:r>
      <w:r>
        <w:t>V</w:t>
      </w:r>
      <w:r w:rsidRPr="00916230">
        <w:t xml:space="preserve"> tomto případě </w:t>
      </w:r>
      <w:r>
        <w:t>se může</w:t>
      </w:r>
      <w:r w:rsidRPr="00916230">
        <w:t xml:space="preserve"> jednat pouze o orientační měření v rámci nějakého intervalu hodnot.</w:t>
      </w:r>
    </w:p>
    <w:p w:rsidR="005E6474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</w:r>
      <w:r w:rsidRPr="00A4357F">
        <w:rPr>
          <w:rFonts w:eastAsiaTheme="minorEastAsia"/>
          <w:szCs w:val="24"/>
        </w:rPr>
        <w:t xml:space="preserve">Průměrná hodnota </w:t>
      </w:r>
      <w:r>
        <w:rPr>
          <w:rFonts w:eastAsiaTheme="minorEastAsia"/>
          <w:szCs w:val="24"/>
        </w:rPr>
        <w:t xml:space="preserve">modulu pružnosti ve smyku oceli určená z hodnot v tabulce 2.2.2 má velikost </w:t>
      </w:r>
      <m:oMath>
        <m:r>
          <w:rPr>
            <w:rFonts w:ascii="Cambria Math" w:eastAsiaTheme="minorEastAsia" w:hAnsi="Cambria Math"/>
            <w:szCs w:val="24"/>
          </w:rPr>
          <m:t>G=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86±1</m:t>
            </m:r>
          </m:e>
        </m:d>
      </m:oMath>
      <w:r w:rsidRPr="00A4357F"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GPa</w:t>
      </w:r>
      <w:proofErr w:type="spellEnd"/>
      <w:r w:rsidRPr="00A4357F">
        <w:rPr>
          <w:rFonts w:eastAsiaTheme="minorEastAsia"/>
          <w:szCs w:val="24"/>
        </w:rPr>
        <w:t xml:space="preserve">. Relativní </w:t>
      </w:r>
      <w:r w:rsidR="0087021C">
        <w:rPr>
          <w:rFonts w:eastAsiaTheme="minorEastAsia"/>
          <w:szCs w:val="24"/>
        </w:rPr>
        <w:t>nejistota</w:t>
      </w:r>
      <w:r w:rsidRPr="00A4357F">
        <w:rPr>
          <w:rFonts w:eastAsiaTheme="minorEastAsia"/>
          <w:szCs w:val="24"/>
        </w:rPr>
        <w:t xml:space="preserve"> měření je </w:t>
      </w:r>
      <m:oMath>
        <m:r>
          <w:rPr>
            <w:rFonts w:ascii="Cambria Math" w:eastAsiaTheme="minorEastAsia" w:hAnsi="Cambria Math"/>
            <w:szCs w:val="24"/>
          </w:rPr>
          <m:t>δG=0,011628≐1</m:t>
        </m:r>
      </m:oMath>
      <w:r w:rsidRPr="00A4357F">
        <w:rPr>
          <w:rFonts w:eastAsiaTheme="minorEastAsia"/>
          <w:szCs w:val="24"/>
        </w:rPr>
        <w:t xml:space="preserve"> %, což </w:t>
      </w:r>
      <w:r>
        <w:rPr>
          <w:rFonts w:eastAsiaTheme="minorEastAsia"/>
          <w:szCs w:val="24"/>
        </w:rPr>
        <w:t>v dobré shodě s uspokojivým měřením realizovaným</w:t>
      </w:r>
      <w:r w:rsidRPr="00A4357F">
        <w:rPr>
          <w:rFonts w:eastAsiaTheme="minorEastAsia"/>
          <w:szCs w:val="24"/>
        </w:rPr>
        <w:t xml:space="preserve"> ve školní laboratoři.</w:t>
      </w:r>
      <w:r>
        <w:rPr>
          <w:rFonts w:eastAsiaTheme="minorEastAsia"/>
          <w:szCs w:val="24"/>
        </w:rPr>
        <w:t xml:space="preserve"> Hodnota je ve výborném souladu s tabulkovou hodnotou v intervalu (85 – 88) </w:t>
      </w:r>
      <w:proofErr w:type="spellStart"/>
      <w:r>
        <w:rPr>
          <w:rFonts w:eastAsiaTheme="minorEastAsia"/>
          <w:szCs w:val="24"/>
        </w:rPr>
        <w:t>GPa</w:t>
      </w:r>
      <w:proofErr w:type="spellEnd"/>
      <w:r>
        <w:rPr>
          <w:rFonts w:eastAsiaTheme="minorEastAsia"/>
          <w:szCs w:val="24"/>
        </w:rPr>
        <w:t>.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bookmarkStart w:id="1" w:name="_GoBack"/>
      <w:bookmarkEnd w:id="1"/>
      <w:r>
        <w:rPr>
          <w:rFonts w:eastAsiaTheme="minorEastAsia"/>
          <w:szCs w:val="24"/>
        </w:rPr>
        <w:tab/>
        <w:t xml:space="preserve">Regresní funkce v grafu na obrázku 2.2.3 tentokrát není lineární, ale mocninná, což odpovídá odvozené závislosti (2.2.3), ve které platí </w:t>
      </w:r>
      <m:oMath>
        <m:r>
          <w:rPr>
            <w:rFonts w:ascii="Cambria Math" w:eastAsiaTheme="minorEastAsia" w:hAnsi="Cambria Math"/>
            <w:szCs w:val="24"/>
          </w:rPr>
          <m:t>G~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sup>
            </m:sSup>
          </m:den>
        </m:f>
      </m:oMath>
      <w:r>
        <w:rPr>
          <w:rFonts w:eastAsiaTheme="minorEastAsia"/>
          <w:szCs w:val="24"/>
        </w:rPr>
        <w:t xml:space="preserve">. </w:t>
      </w:r>
    </w:p>
    <w:p w:rsidR="00672B92" w:rsidRDefault="00672B92" w:rsidP="00672B92">
      <w:pPr>
        <w:pStyle w:val="Bntextrga"/>
        <w:spacing w:line="360" w:lineRule="auto"/>
        <w:rPr>
          <w:rFonts w:eastAsiaTheme="minorEastAsia"/>
          <w:b/>
          <w:szCs w:val="24"/>
        </w:rPr>
      </w:pPr>
    </w:p>
    <w:p w:rsidR="00672B92" w:rsidRDefault="00672B92" w:rsidP="00672B92">
      <w:pPr>
        <w:pStyle w:val="Bntextrga"/>
        <w:spacing w:line="360" w:lineRule="auto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672B92" w:rsidRDefault="00672B92" w:rsidP="00672B92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Ze vztahu (2.2.3) a (2.2.4) odvoďte závislost Youngova modulu </w:t>
      </w:r>
      <w:r w:rsidRPr="000971CE">
        <w:rPr>
          <w:rFonts w:eastAsiaTheme="minorEastAsia"/>
          <w:i/>
          <w:szCs w:val="24"/>
        </w:rPr>
        <w:t>E</w:t>
      </w:r>
      <w:r>
        <w:rPr>
          <w:rFonts w:eastAsiaTheme="minorEastAsia"/>
          <w:szCs w:val="24"/>
        </w:rPr>
        <w:t xml:space="preserve"> na periodě kmitů </w:t>
      </w:r>
      <w:r w:rsidRPr="000971CE">
        <w:rPr>
          <w:rFonts w:eastAsiaTheme="minorEastAsia"/>
          <w:i/>
          <w:szCs w:val="24"/>
        </w:rPr>
        <w:t>T</w:t>
      </w:r>
      <w:r>
        <w:rPr>
          <w:rFonts w:eastAsiaTheme="minorEastAsia"/>
          <w:szCs w:val="24"/>
        </w:rPr>
        <w:t xml:space="preserve"> a na základě analogie se vztahem (2.2.6) formulujte vztah pro absolutní </w:t>
      </w:r>
      <w:r w:rsidR="0087021C">
        <w:rPr>
          <w:rFonts w:eastAsiaTheme="minorEastAsia"/>
          <w:szCs w:val="24"/>
        </w:rPr>
        <w:t>nejistotu</w:t>
      </w:r>
      <w:r>
        <w:rPr>
          <w:rFonts w:eastAsiaTheme="minorEastAsia"/>
          <w:szCs w:val="24"/>
        </w:rPr>
        <w:t xml:space="preserve"> měření </w:t>
      </w:r>
      <m:oMath>
        <m:r>
          <w:rPr>
            <w:rFonts w:ascii="Cambria Math" w:eastAsiaTheme="minorEastAsia" w:hAnsi="Cambria Math"/>
            <w:szCs w:val="24"/>
          </w:rPr>
          <m:t>∆E</m:t>
        </m:r>
      </m:oMath>
      <w:r>
        <w:rPr>
          <w:rFonts w:eastAsiaTheme="minorEastAsia"/>
          <w:szCs w:val="24"/>
        </w:rPr>
        <w:t xml:space="preserve">.  </w:t>
      </w:r>
    </w:p>
    <w:p w:rsidR="00672B92" w:rsidRDefault="00672B92" w:rsidP="00672B92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Pokuste se odhadnout, jak by se změnily výsledky výpočtů, kdybychom neuvažovali vliv hmotnosti pružiny.</w:t>
      </w:r>
    </w:p>
    <w:p w:rsidR="00262990" w:rsidRDefault="00262990"/>
    <w:sectPr w:rsidR="0026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92"/>
    <w:rsid w:val="00262990"/>
    <w:rsid w:val="005E6474"/>
    <w:rsid w:val="00672B92"/>
    <w:rsid w:val="00781CCD"/>
    <w:rsid w:val="00784E95"/>
    <w:rsid w:val="0087021C"/>
    <w:rsid w:val="00961614"/>
    <w:rsid w:val="00D03E39"/>
    <w:rsid w:val="00F2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B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87021C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672B92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87021C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672B92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672B92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672B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B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87021C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672B92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87021C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672B92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672B92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672B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://www.sclpx.eu/lab2R.php?exp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2_2_modul-pruznosti-ve-smyk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146493055555554"/>
          <c:y val="0.14935246913580247"/>
          <c:w val="0.53691579861111116"/>
          <c:h val="0.7524512345679011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spPr>
              <a:ln>
                <a:solidFill>
                  <a:srgbClr val="FF0000"/>
                </a:solidFill>
              </a:ln>
            </c:spPr>
            <c:trendlineType val="power"/>
            <c:dispRSqr val="1"/>
            <c:dispEq val="1"/>
            <c:trendlineLbl>
              <c:layout>
                <c:manualLayout>
                  <c:x val="0.3322425347222222"/>
                  <c:y val="-0.54948765432098767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</a:defRPr>
                  </a:pPr>
                  <a:endParaRPr lang="cs-CZ"/>
                </a:p>
              </c:txPr>
            </c:trendlineLbl>
          </c:trendline>
          <c:xVal>
            <c:numRef>
              <c:f>List1!$B$2:$B$11</c:f>
              <c:numCache>
                <c:formatCode>0.000</c:formatCode>
                <c:ptCount val="10"/>
                <c:pt idx="0">
                  <c:v>0.86</c:v>
                </c:pt>
                <c:pt idx="1">
                  <c:v>0.85599999999999998</c:v>
                </c:pt>
                <c:pt idx="2">
                  <c:v>0.84799999999999998</c:v>
                </c:pt>
                <c:pt idx="3">
                  <c:v>0.87</c:v>
                </c:pt>
                <c:pt idx="4">
                  <c:v>0.86399999999999999</c:v>
                </c:pt>
                <c:pt idx="5">
                  <c:v>1.0129999999999999</c:v>
                </c:pt>
                <c:pt idx="6">
                  <c:v>1.036</c:v>
                </c:pt>
                <c:pt idx="7">
                  <c:v>1.018</c:v>
                </c:pt>
                <c:pt idx="8">
                  <c:v>1.02</c:v>
                </c:pt>
                <c:pt idx="9">
                  <c:v>1.026</c:v>
                </c:pt>
              </c:numCache>
            </c:numRef>
          </c:xVal>
          <c:yVal>
            <c:numRef>
              <c:f>List1!$D$2:$D$11</c:f>
              <c:numCache>
                <c:formatCode>0.00000E+00</c:formatCode>
                <c:ptCount val="10"/>
                <c:pt idx="0">
                  <c:v>100668225569.10664</c:v>
                </c:pt>
                <c:pt idx="1">
                  <c:v>101611248295.30864</c:v>
                </c:pt>
                <c:pt idx="2">
                  <c:v>103537485024.29588</c:v>
                </c:pt>
                <c:pt idx="3">
                  <c:v>98367313556.495255</c:v>
                </c:pt>
                <c:pt idx="4">
                  <c:v>99738270038.836472</c:v>
                </c:pt>
                <c:pt idx="5">
                  <c:v>72555514375.225998</c:v>
                </c:pt>
                <c:pt idx="6">
                  <c:v>69369698229.483078</c:v>
                </c:pt>
                <c:pt idx="7">
                  <c:v>71844538610.426147</c:v>
                </c:pt>
                <c:pt idx="8">
                  <c:v>71563071540.668274</c:v>
                </c:pt>
                <c:pt idx="9">
                  <c:v>70728523905.656891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9340416"/>
        <c:axId val="233793792"/>
      </c:scatterChart>
      <c:valAx>
        <c:axId val="199340416"/>
        <c:scaling>
          <c:orientation val="minMax"/>
          <c:min val="0.8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(s)</a:t>
                </a:r>
              </a:p>
            </c:rich>
          </c:tx>
          <c:layout>
            <c:manualLayout>
              <c:xMode val="edge"/>
              <c:yMode val="edge"/>
              <c:x val="0.74004652777777757"/>
              <c:y val="0.89336296296296291"/>
            </c:manualLayout>
          </c:layout>
          <c:overlay val="0"/>
        </c:title>
        <c:numFmt formatCode="0.000" sourceLinked="1"/>
        <c:majorTickMark val="out"/>
        <c:minorTickMark val="none"/>
        <c:tickLblPos val="nextTo"/>
        <c:crossAx val="233793792"/>
        <c:crosses val="autoZero"/>
        <c:crossBetween val="midCat"/>
      </c:valAx>
      <c:valAx>
        <c:axId val="233793792"/>
        <c:scaling>
          <c:orientation val="minMax"/>
          <c:min val="40000000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(Pa)</a:t>
                </a:r>
              </a:p>
            </c:rich>
          </c:tx>
          <c:layout>
            <c:manualLayout>
              <c:xMode val="edge"/>
              <c:yMode val="edge"/>
              <c:x val="3.9687500000000001E-2"/>
              <c:y val="2.9327469135802482E-2"/>
            </c:manualLayout>
          </c:layout>
          <c:overlay val="0"/>
        </c:title>
        <c:numFmt formatCode="0.0E+00" sourceLinked="0"/>
        <c:majorTickMark val="out"/>
        <c:minorTickMark val="none"/>
        <c:tickLblPos val="nextTo"/>
        <c:crossAx val="19934041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cenda</dc:creator>
  <cp:lastModifiedBy>imhotep</cp:lastModifiedBy>
  <cp:revision>3</cp:revision>
  <cp:lastPrinted>2016-01-24T09:47:00Z</cp:lastPrinted>
  <dcterms:created xsi:type="dcterms:W3CDTF">2016-01-24T09:47:00Z</dcterms:created>
  <dcterms:modified xsi:type="dcterms:W3CDTF">2016-01-24T09:47:00Z</dcterms:modified>
</cp:coreProperties>
</file>