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47" w:rsidRDefault="00352847" w:rsidP="00053CB3">
      <w:pPr>
        <w:pStyle w:val="Podkapitola"/>
      </w:pPr>
      <w:bookmarkStart w:id="0" w:name="_Toc429589072"/>
      <w:r>
        <w:t>Měření magnetické indukce elektromagnetu</w:t>
      </w:r>
      <w:bookmarkEnd w:id="0"/>
      <w:r>
        <w:t xml:space="preserve"> </w:t>
      </w:r>
    </w:p>
    <w:p w:rsidR="00352847" w:rsidRDefault="00352847" w:rsidP="00352847">
      <w:r>
        <w:br/>
      </w:r>
      <w:r w:rsidRPr="00315847">
        <w:rPr>
          <w:rFonts w:ascii="Times New Roman" w:hAnsi="Times New Roman" w:cs="Times New Roman"/>
          <w:sz w:val="24"/>
          <w:szCs w:val="24"/>
        </w:rPr>
        <w:t xml:space="preserve">Online: </w:t>
      </w:r>
      <w:hyperlink r:id="rId5" w:history="1">
        <w:r w:rsidRPr="007E5A22">
          <w:rPr>
            <w:rStyle w:val="Hypertextovodkaz"/>
            <w:rFonts w:ascii="Times New Roman" w:hAnsi="Times New Roman" w:cs="Times New Roman"/>
            <w:sz w:val="24"/>
            <w:szCs w:val="24"/>
          </w:rPr>
          <w:t>http://www.sclpx.eu/lab3R.php?exp=1</w:t>
        </w:r>
      </w:hyperlink>
      <w:r>
        <w:rPr>
          <w:rFonts w:ascii="Times New Roman" w:hAnsi="Times New Roman" w:cs="Times New Roman"/>
          <w:sz w:val="24"/>
          <w:szCs w:val="24"/>
        </w:rPr>
        <w:t xml:space="preserve"> </w:t>
      </w:r>
    </w:p>
    <w:p w:rsidR="00352847" w:rsidRDefault="00352847" w:rsidP="00352847">
      <w:pPr>
        <w:pStyle w:val="Bntextrga"/>
        <w:spacing w:line="360" w:lineRule="auto"/>
        <w:jc w:val="both"/>
      </w:pPr>
      <w:r>
        <w:tab/>
        <w:t>V tomto experimentu jsme využili digitální kuchyňské váhy, pomocí kterých jsme určovali sílu, kterou elektromagnet působí na kovový pásek upevněný k váhám. Nejprve ale bylo nutné z naměřených hodnot určit relativní permeabilitu kovového jádra elektromagnetu, které bylo složeno z jednotlivých, lakem izolovaných plechů, a teprve potom jsme mohli určit velikost magnetické indukce.</w:t>
      </w:r>
    </w:p>
    <w:p w:rsidR="00352847" w:rsidRDefault="00352847" w:rsidP="00352847">
      <w:pPr>
        <w:pStyle w:val="Bntextrga"/>
        <w:spacing w:line="360" w:lineRule="auto"/>
        <w:jc w:val="both"/>
      </w:pPr>
      <w:r>
        <w:tab/>
        <w:t xml:space="preserve">Experiment jsme provedli s různými cívkami o různém počtu závitů. Nejlépe se osvědčila cívka se čtvercovým průřezem jádra o délce strany 21 mm a počtu závitů </w:t>
      </w:r>
      <w:r w:rsidRPr="006353F2">
        <w:rPr>
          <w:i/>
        </w:rPr>
        <w:t>N</w:t>
      </w:r>
      <w:r>
        <w:t xml:space="preserve"> = 600. Cívky s menším počtem závitů (</w:t>
      </w:r>
      <w:r w:rsidRPr="00FE1CD2">
        <w:rPr>
          <w:i/>
        </w:rPr>
        <w:t>N</w:t>
      </w:r>
      <w:r>
        <w:t xml:space="preserve"> = 200, </w:t>
      </w:r>
      <w:r w:rsidRPr="00FE1CD2">
        <w:rPr>
          <w:i/>
        </w:rPr>
        <w:t>N</w:t>
      </w:r>
      <w:r>
        <w:t xml:space="preserve"> = 400) měly velký odběr proudu a síla se při malé změně proudu (napětí na cívce) příliš rychle zvětšovala, cívkami s velkým počtem závitů </w:t>
      </w:r>
      <w:r>
        <w:br/>
        <w:t>(</w:t>
      </w:r>
      <w:r w:rsidRPr="00FE1CD2">
        <w:rPr>
          <w:i/>
        </w:rPr>
        <w:t>N</w:t>
      </w:r>
      <w:r>
        <w:t xml:space="preserve"> = 800, </w:t>
      </w:r>
      <w:r w:rsidRPr="00FE1CD2">
        <w:rPr>
          <w:i/>
        </w:rPr>
        <w:t>N</w:t>
      </w:r>
      <w:r>
        <w:t xml:space="preserve"> = 2400) naopak protékal tak malý proud, že síla vyvinutá elektromagnetem byla téměř neměřitelná.</w:t>
      </w:r>
    </w:p>
    <w:p w:rsidR="00352847" w:rsidRDefault="00352847" w:rsidP="00352847">
      <w:pPr>
        <w:pStyle w:val="Bntextrga"/>
        <w:spacing w:line="360" w:lineRule="auto"/>
        <w:jc w:val="both"/>
      </w:pPr>
      <w:r>
        <w:tab/>
      </w:r>
    </w:p>
    <w:p w:rsidR="00352847" w:rsidRPr="001B38FA" w:rsidRDefault="00352847" w:rsidP="00352847">
      <w:pPr>
        <w:pStyle w:val="Bntextrga"/>
        <w:tabs>
          <w:tab w:val="left" w:pos="851"/>
        </w:tabs>
        <w:rPr>
          <w:b/>
        </w:rPr>
      </w:pPr>
      <w:r w:rsidRPr="001B38FA">
        <w:rPr>
          <w:b/>
        </w:rPr>
        <w:t>Úvod</w:t>
      </w:r>
    </w:p>
    <w:p w:rsidR="00352847" w:rsidRDefault="00352847" w:rsidP="00352847">
      <w:pPr>
        <w:pStyle w:val="Bntextrga"/>
        <w:tabs>
          <w:tab w:val="left" w:pos="851"/>
        </w:tabs>
        <w:spacing w:line="360" w:lineRule="auto"/>
      </w:pPr>
      <w:r>
        <w:t xml:space="preserve">Jak plyne z teorie </w:t>
      </w:r>
      <w:r>
        <w:rPr>
          <w:lang w:val="en-US"/>
        </w:rPr>
        <w:t>[56]</w:t>
      </w:r>
      <w:r>
        <w:t>, pro zvedací sílu elektromagnetu platí vztah (3.1.1):</w:t>
      </w:r>
    </w:p>
    <w:p w:rsidR="00352847" w:rsidRPr="00DD34B3" w:rsidRDefault="00352847" w:rsidP="00352847">
      <w:pPr>
        <w:pStyle w:val="Bntextrga"/>
        <w:tabs>
          <w:tab w:val="left" w:pos="851"/>
        </w:tabs>
        <w:spacing w:line="360" w:lineRule="auto"/>
        <w:rPr>
          <w:rFonts w:eastAsiaTheme="minorEastAsia"/>
        </w:rPr>
      </w:pPr>
      <m:oMathPara>
        <m:oMathParaPr>
          <m:jc m:val="right"/>
        </m:oMathParaPr>
        <m:oMath>
          <m:r>
            <w:rPr>
              <w:rFonts w:ascii="Cambria Math" w:hAnsi="Cambria Math"/>
            </w:rPr>
            <m:t>F=</m:t>
          </m:r>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S</m:t>
              </m:r>
            </m:num>
            <m:den>
              <m:r>
                <w:rPr>
                  <w:rFonts w:ascii="Cambria Math" w:hAnsi="Cambria Math"/>
                </w:rPr>
                <m:t>2 μ</m:t>
              </m:r>
            </m:den>
          </m:f>
          <m:r>
            <w:rPr>
              <w:rFonts w:ascii="Cambria Math" w:eastAsiaTheme="minorEastAsia" w:hAnsi="Cambria Math"/>
            </w:rPr>
            <m:t>,                                                               (3.1.1)</m:t>
          </m:r>
        </m:oMath>
      </m:oMathPara>
    </w:p>
    <w:p w:rsidR="00352847" w:rsidRDefault="00352847" w:rsidP="00352847">
      <w:pPr>
        <w:pStyle w:val="Bntextrga"/>
        <w:tabs>
          <w:tab w:val="left" w:pos="851"/>
        </w:tabs>
        <w:spacing w:line="360" w:lineRule="auto"/>
        <w:jc w:val="both"/>
        <w:rPr>
          <w:rFonts w:eastAsiaTheme="minorEastAsia"/>
        </w:rPr>
      </w:pPr>
      <w:r>
        <w:rPr>
          <w:rFonts w:eastAsiaTheme="minorEastAsia"/>
        </w:rPr>
        <w:t xml:space="preserve">kde </w:t>
      </w:r>
      <w:r>
        <w:rPr>
          <w:rFonts w:eastAsiaTheme="minorEastAsia"/>
          <w:i/>
        </w:rPr>
        <w:t>B</w:t>
      </w:r>
      <w:r>
        <w:rPr>
          <w:rFonts w:eastAsiaTheme="minorEastAsia"/>
        </w:rPr>
        <w:t xml:space="preserve"> je velikost magnetické indukce, </w:t>
      </w:r>
      <w:r>
        <w:rPr>
          <w:rFonts w:eastAsiaTheme="minorEastAsia"/>
          <w:i/>
        </w:rPr>
        <w:t>S</w:t>
      </w:r>
      <w:r>
        <w:rPr>
          <w:rFonts w:eastAsiaTheme="minorEastAsia"/>
        </w:rPr>
        <w:t xml:space="preserve"> je průřez jádra a </w:t>
      </w:r>
      <m:oMath>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0</m:t>
            </m:r>
          </m:sub>
        </m:sSub>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r</m:t>
            </m:r>
          </m:sub>
        </m:sSub>
      </m:oMath>
      <w:r>
        <w:rPr>
          <w:rFonts w:eastAsiaTheme="minorEastAsia"/>
        </w:rPr>
        <w:t xml:space="preserve"> je permeabilita prostředí,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0</m:t>
            </m:r>
          </m:sub>
        </m:sSub>
      </m:oMath>
      <w:r>
        <w:rPr>
          <w:rFonts w:eastAsiaTheme="minorEastAsia"/>
        </w:rPr>
        <w:t xml:space="preserve"> je permeabilita vakua o hodnotě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0</m:t>
            </m:r>
          </m:sub>
        </m:sSub>
        <m:r>
          <w:rPr>
            <w:rFonts w:ascii="Cambria Math" w:eastAsiaTheme="minorEastAsia" w:hAnsi="Cambria Math"/>
          </w:rPr>
          <m:t>=4</m:t>
        </m:r>
        <m:r>
          <m:rPr>
            <m:sty m:val="p"/>
          </m:rPr>
          <w:rPr>
            <w:rFonts w:ascii="Cambria Math" w:eastAsiaTheme="minorEastAsia" w:hAnsi="Cambria Math"/>
          </w:rPr>
          <m:t>π</m:t>
        </m:r>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m:t>
            </m:r>
          </m:e>
          <m:sup>
            <m:r>
              <w:rPr>
                <w:rFonts w:ascii="Cambria Math" w:eastAsiaTheme="minorEastAsia" w:hAnsi="Cambria Math"/>
              </w:rPr>
              <m:t>-7</m:t>
            </m:r>
          </m:sup>
        </m:sSup>
        <m:r>
          <m:rPr>
            <m:sty m:val="p"/>
          </m:rPr>
          <w:rPr>
            <w:rFonts w:ascii="Cambria Math" w:hAnsi="Cambria Math"/>
          </w:rPr>
          <m:t xml:space="preserve"> H∙</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w:r>
        <w:rPr>
          <w:rFonts w:eastAsiaTheme="minorEastAsia"/>
        </w:rPr>
        <w:t xml:space="preserve"> a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r</m:t>
            </m:r>
          </m:sub>
        </m:sSub>
      </m:oMath>
      <w:r>
        <w:rPr>
          <w:rFonts w:eastAsiaTheme="minorEastAsia"/>
        </w:rPr>
        <w:t xml:space="preserve"> je relativní permeabilita.</w:t>
      </w:r>
    </w:p>
    <w:p w:rsidR="00352847" w:rsidRPr="004375A0" w:rsidRDefault="00352847" w:rsidP="00352847">
      <w:pPr>
        <w:pStyle w:val="Bntextrga"/>
        <w:tabs>
          <w:tab w:val="left" w:pos="851"/>
        </w:tabs>
        <w:spacing w:line="360" w:lineRule="auto"/>
        <w:jc w:val="both"/>
        <w:rPr>
          <w:rFonts w:eastAsiaTheme="minorEastAsia"/>
        </w:rPr>
      </w:pPr>
      <w:r>
        <w:rPr>
          <w:rFonts w:eastAsiaTheme="minorEastAsia"/>
        </w:rPr>
        <w:tab/>
        <w:t xml:space="preserve">Pro velikost magnetické indukce válcové cívky o délce </w:t>
      </w:r>
      <w:r>
        <w:rPr>
          <w:rFonts w:eastAsiaTheme="minorEastAsia"/>
          <w:i/>
        </w:rPr>
        <w:t>l</w:t>
      </w:r>
      <w:r>
        <w:rPr>
          <w:rFonts w:eastAsiaTheme="minorEastAsia"/>
        </w:rPr>
        <w:t xml:space="preserve"> a počtu závitů </w:t>
      </w:r>
      <w:r w:rsidRPr="004375A0">
        <w:rPr>
          <w:rFonts w:eastAsiaTheme="minorEastAsia"/>
          <w:i/>
        </w:rPr>
        <w:t>N</w:t>
      </w:r>
      <w:r>
        <w:rPr>
          <w:rFonts w:eastAsiaTheme="minorEastAsia"/>
        </w:rPr>
        <w:t xml:space="preserve">, kterou prochází proud </w:t>
      </w:r>
      <w:r>
        <w:rPr>
          <w:rFonts w:eastAsiaTheme="minorEastAsia"/>
          <w:i/>
        </w:rPr>
        <w:t>I</w:t>
      </w:r>
      <w:r>
        <w:rPr>
          <w:rFonts w:eastAsiaTheme="minorEastAsia"/>
        </w:rPr>
        <w:t xml:space="preserve">, platí známý vztah (3.1.2), viz </w:t>
      </w:r>
      <w:r>
        <w:rPr>
          <w:rFonts w:eastAsiaTheme="minorEastAsia"/>
          <w:lang w:val="en-US"/>
        </w:rPr>
        <w:t>[45]</w:t>
      </w:r>
      <w:r>
        <w:rPr>
          <w:rFonts w:eastAsiaTheme="minorEastAsia"/>
        </w:rPr>
        <w:t xml:space="preserve">: </w:t>
      </w:r>
    </w:p>
    <w:p w:rsidR="00352847" w:rsidRPr="004375A0" w:rsidRDefault="00352847" w:rsidP="00352847">
      <w:pPr>
        <w:pStyle w:val="Bntextrga"/>
        <w:tabs>
          <w:tab w:val="left" w:pos="851"/>
        </w:tabs>
      </w:pPr>
      <m:oMathPara>
        <m:oMathParaPr>
          <m:jc m:val="right"/>
        </m:oMathParaPr>
        <m:oMath>
          <m:r>
            <w:rPr>
              <w:rFonts w:ascii="Cambria Math" w:hAnsi="Cambria Math"/>
            </w:rPr>
            <m:t>B=μ</m:t>
          </m:r>
          <m:f>
            <m:fPr>
              <m:ctrlPr>
                <w:rPr>
                  <w:rFonts w:ascii="Cambria Math" w:hAnsi="Cambria Math"/>
                  <w:i/>
                </w:rPr>
              </m:ctrlPr>
            </m:fPr>
            <m:num>
              <m:r>
                <w:rPr>
                  <w:rFonts w:ascii="Cambria Math" w:hAnsi="Cambria Math"/>
                </w:rPr>
                <m:t>NI</m:t>
              </m:r>
            </m:num>
            <m:den>
              <m:r>
                <w:rPr>
                  <w:rFonts w:ascii="Cambria Math" w:hAnsi="Cambria Math"/>
                </w:rPr>
                <m:t>l</m:t>
              </m:r>
            </m:den>
          </m:f>
          <m:r>
            <w:rPr>
              <w:rFonts w:ascii="Cambria Math" w:hAnsi="Cambria Math"/>
            </w:rPr>
            <m:t xml:space="preserve">                                                              (3.1.2)</m:t>
          </m:r>
        </m:oMath>
      </m:oMathPara>
    </w:p>
    <w:p w:rsidR="00352847" w:rsidRDefault="00352847" w:rsidP="00352847">
      <w:pPr>
        <w:pStyle w:val="Bntextrga"/>
        <w:tabs>
          <w:tab w:val="left" w:pos="851"/>
        </w:tabs>
        <w:spacing w:line="360" w:lineRule="auto"/>
        <w:jc w:val="both"/>
      </w:pPr>
      <w:r>
        <w:t>Dosadíme-li ze vztahu (3.1.2) do vztahu (3.1.1) získáme výsledný vztah (3.1.3) pro sílu elektromagnetu:</w:t>
      </w:r>
    </w:p>
    <w:p w:rsidR="00352847" w:rsidRPr="00B70BE1" w:rsidRDefault="00352847" w:rsidP="00352847">
      <w:pPr>
        <w:pStyle w:val="Bntextrga"/>
        <w:tabs>
          <w:tab w:val="left" w:pos="851"/>
        </w:tabs>
      </w:pPr>
      <m:oMathPara>
        <m:oMathParaPr>
          <m:jc m:val="right"/>
        </m:oMathParaPr>
        <m:oMath>
          <m:r>
            <w:rPr>
              <w:rFonts w:ascii="Cambria Math" w:hAnsi="Cambria Math"/>
            </w:rPr>
            <m:t>F=</m:t>
          </m:r>
          <m:f>
            <m:fPr>
              <m:ctrlPr>
                <w:rPr>
                  <w:rFonts w:ascii="Cambria Math" w:hAnsi="Cambria Math"/>
                  <w:i/>
                </w:rPr>
              </m:ctrlPr>
            </m:fPr>
            <m:num>
              <m:r>
                <w:rPr>
                  <w:rFonts w:ascii="Cambria Math" w:hAnsi="Cambria Math"/>
                </w:rPr>
                <m:t>μ</m:t>
              </m:r>
            </m:num>
            <m:den>
              <m:r>
                <w:rPr>
                  <w:rFonts w:ascii="Cambria Math" w:hAnsi="Cambria Math"/>
                </w:rPr>
                <m:t>2</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S</m:t>
              </m:r>
            </m:num>
            <m:den>
              <m:sSup>
                <m:sSupPr>
                  <m:ctrlPr>
                    <w:rPr>
                      <w:rFonts w:ascii="Cambria Math" w:hAnsi="Cambria Math"/>
                      <w:i/>
                    </w:rPr>
                  </m:ctrlPr>
                </m:sSupPr>
                <m:e>
                  <m:r>
                    <w:rPr>
                      <w:rFonts w:ascii="Cambria Math" w:hAnsi="Cambria Math"/>
                    </w:rPr>
                    <m:t>l</m:t>
                  </m:r>
                </m:e>
                <m:sup>
                  <m:r>
                    <w:rPr>
                      <w:rFonts w:ascii="Cambria Math" w:hAnsi="Cambria Math"/>
                    </w:rPr>
                    <m:t>2</m:t>
                  </m:r>
                </m:sup>
              </m:sSup>
            </m:den>
          </m:f>
          <m:r>
            <w:rPr>
              <w:rFonts w:ascii="Cambria Math" w:eastAsiaTheme="minorEastAsia" w:hAnsi="Cambria Math"/>
            </w:rPr>
            <m:t xml:space="preserve">                                                           (3.1.3)</m:t>
          </m:r>
        </m:oMath>
      </m:oMathPara>
    </w:p>
    <w:p w:rsidR="00352847" w:rsidRDefault="00352847" w:rsidP="00352847">
      <w:pPr>
        <w:pStyle w:val="Bntextrga"/>
        <w:tabs>
          <w:tab w:val="left" w:pos="851"/>
        </w:tabs>
        <w:spacing w:line="360" w:lineRule="auto"/>
        <w:jc w:val="both"/>
        <w:rPr>
          <w:rFonts w:eastAsiaTheme="minorEastAsia"/>
        </w:rPr>
      </w:pPr>
      <w:r>
        <w:lastRenderedPageBreak/>
        <w:t xml:space="preserve">Z předchozího vztahu (3.1.3) pak na základě změřených hodnot síly </w:t>
      </w:r>
      <w:r w:rsidRPr="000920D7">
        <w:rPr>
          <w:i/>
        </w:rPr>
        <w:t>F</w:t>
      </w:r>
      <w:r>
        <w:t xml:space="preserve">, počtu závitů </w:t>
      </w:r>
      <w:r w:rsidRPr="000920D7">
        <w:rPr>
          <w:i/>
        </w:rPr>
        <w:t>N</w:t>
      </w:r>
      <w:r>
        <w:t xml:space="preserve">, délky cívka </w:t>
      </w:r>
      <w:r w:rsidRPr="000920D7">
        <w:rPr>
          <w:i/>
        </w:rPr>
        <w:t>l</w:t>
      </w:r>
      <w:r>
        <w:t xml:space="preserve"> a procházejícího proudu </w:t>
      </w:r>
      <w:r w:rsidRPr="000920D7">
        <w:rPr>
          <w:i/>
        </w:rPr>
        <w:t>I</w:t>
      </w:r>
      <w:r>
        <w:t xml:space="preserve"> můžeme určit hodnotu permeability </w:t>
      </w:r>
      <m:oMath>
        <m:r>
          <w:rPr>
            <w:rFonts w:ascii="Cambria Math" w:hAnsi="Cambria Math"/>
          </w:rPr>
          <m:t>μ</m:t>
        </m:r>
      </m:oMath>
      <w:r>
        <w:rPr>
          <w:rFonts w:eastAsiaTheme="minorEastAsia"/>
        </w:rPr>
        <w:t xml:space="preserve"> a relativní permeability jádra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Pr>
          <w:rFonts w:eastAsiaTheme="minorEastAsia"/>
        </w:rPr>
        <w:t>. Známe-li hodnotu permeability jádra, můžeme experimentálně určit velikost magnetické indukce ze vztahu (3.1.1):</w:t>
      </w:r>
    </w:p>
    <w:p w:rsidR="00352847" w:rsidRPr="00140EA4" w:rsidRDefault="00D81207" w:rsidP="00352847">
      <w:pPr>
        <w:pStyle w:val="Bntextrga"/>
        <w:tabs>
          <w:tab w:val="left" w:pos="851"/>
        </w:tabs>
        <w:spacing w:line="360" w:lineRule="auto"/>
        <w:jc w:val="both"/>
        <w:rPr>
          <w:rFonts w:eastAsiaTheme="minorEastAsia"/>
        </w:rPr>
      </w:pPr>
      <m:oMathPara>
        <m:oMathParaPr>
          <m:jc m:val="right"/>
        </m:oMathParaPr>
        <m:oMath>
          <m:sSub>
            <m:sSubPr>
              <m:ctrlPr>
                <w:rPr>
                  <w:rFonts w:ascii="Cambria Math" w:hAnsi="Cambria Math"/>
                  <w:i/>
                </w:rPr>
              </m:ctrlPr>
            </m:sSubPr>
            <m:e>
              <m:r>
                <w:rPr>
                  <w:rFonts w:ascii="Cambria Math" w:hAnsi="Cambria Math"/>
                </w:rPr>
                <m:t>B</m:t>
              </m:r>
            </m:e>
            <m:sub>
              <m:r>
                <m:rPr>
                  <m:sty m:val="p"/>
                </m:rPr>
                <w:rPr>
                  <w:rFonts w:ascii="Cambria Math" w:hAnsi="Cambria Math"/>
                </w:rPr>
                <m:t>exp</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2μF</m:t>
                  </m:r>
                </m:num>
                <m:den>
                  <m:r>
                    <w:rPr>
                      <w:rFonts w:ascii="Cambria Math" w:hAnsi="Cambria Math"/>
                    </w:rPr>
                    <m:t>S</m:t>
                  </m:r>
                </m:den>
              </m:f>
            </m:e>
          </m:rad>
          <m:r>
            <w:rPr>
              <w:rFonts w:ascii="Cambria Math" w:eastAsiaTheme="minorEastAsia"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2μmg</m:t>
                  </m:r>
                </m:num>
                <m:den>
                  <m:r>
                    <w:rPr>
                      <w:rFonts w:ascii="Cambria Math" w:hAnsi="Cambria Math"/>
                    </w:rPr>
                    <m:t>S</m:t>
                  </m:r>
                </m:den>
              </m:f>
            </m:e>
          </m:rad>
          <m:r>
            <w:rPr>
              <w:rFonts w:ascii="Cambria Math" w:eastAsiaTheme="minorEastAsia" w:hAnsi="Cambria Math"/>
            </w:rPr>
            <m:t>,                                                     (3.1.4)</m:t>
          </m:r>
        </m:oMath>
      </m:oMathPara>
    </w:p>
    <w:p w:rsidR="00352847" w:rsidRPr="00335A2B" w:rsidRDefault="00352847" w:rsidP="00352847">
      <w:pPr>
        <w:pStyle w:val="Bntextrga"/>
        <w:tabs>
          <w:tab w:val="left" w:pos="851"/>
        </w:tabs>
        <w:spacing w:line="360" w:lineRule="auto"/>
        <w:jc w:val="both"/>
        <w:rPr>
          <w:rFonts w:eastAsiaTheme="minorEastAsia"/>
        </w:rPr>
      </w:pPr>
      <w:r>
        <w:rPr>
          <w:rFonts w:eastAsiaTheme="minorEastAsia"/>
        </w:rPr>
        <w:t xml:space="preserve">a porovnat tuto hodnotu s údajem vypočítaným ze vztahu (3.1.2). Ve vztahu (3.1.4) je </w:t>
      </w:r>
      <m:oMath>
        <m:r>
          <w:rPr>
            <w:rFonts w:ascii="Cambria Math" w:eastAsiaTheme="minorEastAsia" w:hAnsi="Cambria Math"/>
          </w:rPr>
          <m:t>μ=</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0</m:t>
            </m:r>
          </m:sub>
        </m:sSub>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r</m:t>
            </m:r>
          </m:sub>
        </m:sSub>
      </m:oMath>
      <w:r>
        <w:rPr>
          <w:rFonts w:eastAsiaTheme="minorEastAsia"/>
        </w:rPr>
        <w:t xml:space="preserve"> hodnota permeability prostředí, </w:t>
      </w:r>
      <w:r>
        <w:rPr>
          <w:rFonts w:eastAsiaTheme="minorEastAsia"/>
          <w:i/>
        </w:rPr>
        <w:t>S</w:t>
      </w:r>
      <w:r>
        <w:rPr>
          <w:rFonts w:eastAsiaTheme="minorEastAsia"/>
        </w:rPr>
        <w:t xml:space="preserve"> je průřez jádra, </w:t>
      </w:r>
      <w:r>
        <w:rPr>
          <w:rFonts w:eastAsiaTheme="minorEastAsia"/>
          <w:i/>
        </w:rPr>
        <w:t>m</w:t>
      </w:r>
      <w:r>
        <w:rPr>
          <w:rFonts w:eastAsiaTheme="minorEastAsia"/>
        </w:rPr>
        <w:t xml:space="preserve"> je zdvihová hmotnost naměřená na digitálních váhách působením síly elektromagnetu, </w:t>
      </w:r>
      <m:oMath>
        <m:r>
          <w:rPr>
            <w:rFonts w:ascii="Cambria Math" w:eastAsiaTheme="minorEastAsia" w:hAnsi="Cambria Math"/>
          </w:rPr>
          <m:t xml:space="preserve">g=9,81 </m:t>
        </m:r>
        <m:r>
          <m:rPr>
            <m:sty m:val="p"/>
          </m:rPr>
          <w:rPr>
            <w:rFonts w:ascii="Cambria Math" w:eastAsiaTheme="minorEastAsia" w:hAnsi="Cambria Math"/>
          </w:rPr>
          <m:t>m∙</m:t>
        </m:r>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oMath>
      <w:r>
        <w:rPr>
          <w:rFonts w:eastAsiaTheme="minorEastAsia"/>
        </w:rPr>
        <w:t>.</w:t>
      </w:r>
    </w:p>
    <w:p w:rsidR="00352847" w:rsidRDefault="00352847" w:rsidP="00352847">
      <w:pPr>
        <w:pStyle w:val="Bntextrga"/>
        <w:spacing w:line="360" w:lineRule="auto"/>
        <w:jc w:val="both"/>
        <w:rPr>
          <w:rFonts w:eastAsiaTheme="minorEastAsia"/>
          <w:szCs w:val="24"/>
        </w:rPr>
      </w:pPr>
      <w:r>
        <w:rPr>
          <w:rFonts w:eastAsiaTheme="minorEastAsia"/>
          <w:b/>
          <w:szCs w:val="24"/>
        </w:rPr>
        <w:br/>
        <w:t>Pomůcky:</w:t>
      </w:r>
      <w:r>
        <w:rPr>
          <w:rFonts w:eastAsiaTheme="minorEastAsia"/>
          <w:szCs w:val="24"/>
        </w:rPr>
        <w:t xml:space="preserve"> multimetr VA18B, cívka 600 závitů (</w:t>
      </w:r>
      <w:r>
        <w:rPr>
          <w:rFonts w:eastAsiaTheme="minorEastAsia"/>
          <w:i/>
          <w:szCs w:val="24"/>
        </w:rPr>
        <w:t xml:space="preserve">l = </w:t>
      </w:r>
      <w:r>
        <w:rPr>
          <w:rFonts w:eastAsiaTheme="minorEastAsia"/>
          <w:szCs w:val="24"/>
        </w:rPr>
        <w:t xml:space="preserve">44 mm, </w:t>
      </w:r>
      <w:r w:rsidRPr="00D45E43">
        <w:rPr>
          <w:rFonts w:eastAsiaTheme="minorEastAsia"/>
          <w:i/>
          <w:szCs w:val="24"/>
        </w:rPr>
        <w:t>R</w:t>
      </w:r>
      <w:r>
        <w:rPr>
          <w:rFonts w:eastAsiaTheme="minorEastAsia"/>
          <w:szCs w:val="24"/>
        </w:rPr>
        <w:t xml:space="preserve"> = 4,2 </w:t>
      </w:r>
      <w:r>
        <w:rPr>
          <w:rFonts w:eastAsiaTheme="minorEastAsia" w:cs="Times New Roman"/>
          <w:szCs w:val="24"/>
        </w:rPr>
        <w:t>Ω</w:t>
      </w:r>
      <w:r>
        <w:rPr>
          <w:rFonts w:eastAsiaTheme="minorEastAsia"/>
          <w:szCs w:val="24"/>
        </w:rPr>
        <w:t xml:space="preserve">, </w:t>
      </w:r>
      <w:r w:rsidRPr="00D45E43">
        <w:rPr>
          <w:rFonts w:eastAsiaTheme="minorEastAsia"/>
          <w:i/>
          <w:szCs w:val="24"/>
        </w:rPr>
        <w:t>L</w:t>
      </w:r>
      <w:r>
        <w:rPr>
          <w:rFonts w:eastAsiaTheme="minorEastAsia"/>
          <w:szCs w:val="24"/>
        </w:rPr>
        <w:t xml:space="preserve"> = 6 </w:t>
      </w:r>
      <w:proofErr w:type="spellStart"/>
      <w:r>
        <w:rPr>
          <w:rFonts w:eastAsiaTheme="minorEastAsia"/>
          <w:szCs w:val="24"/>
        </w:rPr>
        <w:t>mH</w:t>
      </w:r>
      <w:proofErr w:type="spellEnd"/>
      <w:r>
        <w:rPr>
          <w:rFonts w:eastAsiaTheme="minorEastAsia"/>
          <w:szCs w:val="24"/>
        </w:rPr>
        <w:t xml:space="preserve">), laboratorní zdroj </w:t>
      </w:r>
      <w:proofErr w:type="spellStart"/>
      <w:r>
        <w:rPr>
          <w:rFonts w:eastAsiaTheme="minorEastAsia"/>
          <w:szCs w:val="24"/>
        </w:rPr>
        <w:t>ss</w:t>
      </w:r>
      <w:proofErr w:type="spellEnd"/>
      <w:r>
        <w:rPr>
          <w:rFonts w:eastAsiaTheme="minorEastAsia"/>
          <w:szCs w:val="24"/>
        </w:rPr>
        <w:t xml:space="preserve"> napětí, digitální kuchyňské váhy, železný pásek nebo kruh o tloušťce 0,1 mm, izolepa, stativový materiál</w:t>
      </w:r>
    </w:p>
    <w:p w:rsidR="00352847" w:rsidRDefault="00053CB3" w:rsidP="00352847">
      <w:pPr>
        <w:pStyle w:val="Bntextrga"/>
        <w:tabs>
          <w:tab w:val="left" w:pos="709"/>
        </w:tabs>
        <w:spacing w:line="360" w:lineRule="auto"/>
        <w:rPr>
          <w:rFonts w:eastAsiaTheme="minorEastAsia"/>
          <w:b/>
          <w:szCs w:val="24"/>
        </w:rPr>
      </w:pPr>
      <w:r>
        <w:rPr>
          <w:rFonts w:eastAsiaTheme="minorEastAsia"/>
          <w:b/>
          <w:szCs w:val="24"/>
        </w:rPr>
        <w:br/>
      </w:r>
      <w:r w:rsidR="00352847">
        <w:rPr>
          <w:rFonts w:eastAsiaTheme="minorEastAsia"/>
          <w:b/>
          <w:szCs w:val="24"/>
        </w:rPr>
        <w:t>Postup práce</w:t>
      </w:r>
    </w:p>
    <w:p w:rsidR="00352847" w:rsidRDefault="00352847" w:rsidP="00352847">
      <w:pPr>
        <w:pStyle w:val="Bntextrga"/>
        <w:tabs>
          <w:tab w:val="left" w:pos="851"/>
        </w:tabs>
        <w:spacing w:line="360" w:lineRule="auto"/>
        <w:jc w:val="both"/>
        <w:rPr>
          <w:rFonts w:eastAsiaTheme="minorEastAsia"/>
          <w:szCs w:val="24"/>
        </w:rPr>
      </w:pPr>
      <w:r>
        <w:rPr>
          <w:rFonts w:eastAsiaTheme="minorEastAsia"/>
          <w:szCs w:val="24"/>
        </w:rPr>
        <w:t xml:space="preserve">Uspořádání experimentu je na obrázku 3.1.1. </w:t>
      </w:r>
      <w:r>
        <w:rPr>
          <w:rFonts w:eastAsiaTheme="minorEastAsia"/>
        </w:rPr>
        <w:t xml:space="preserve">Před vlastním měřením permeability ještě změříme posuvným měřidlem velikost čtvercového otvoru cívky a její délku. Zdvihovou sílu elektromagnetu </w:t>
      </w:r>
      <w:r>
        <w:rPr>
          <w:rFonts w:eastAsiaTheme="minorEastAsia"/>
          <w:i/>
        </w:rPr>
        <w:t>F</w:t>
      </w:r>
      <w:r>
        <w:rPr>
          <w:rFonts w:eastAsiaTheme="minorEastAsia"/>
        </w:rPr>
        <w:t xml:space="preserve"> vypočítáme jednoduše jako </w:t>
      </w:r>
      <m:oMath>
        <m:r>
          <w:rPr>
            <w:rFonts w:ascii="Cambria Math" w:eastAsiaTheme="minorEastAsia" w:hAnsi="Cambria Math"/>
          </w:rPr>
          <m:t>F=mg</m:t>
        </m:r>
      </m:oMath>
      <w:r>
        <w:rPr>
          <w:rFonts w:eastAsiaTheme="minorEastAsia"/>
        </w:rPr>
        <w:t xml:space="preserve">, hodnotu tíhového zrychlení volte </w:t>
      </w:r>
      <m:oMath>
        <m:r>
          <w:rPr>
            <w:rFonts w:ascii="Cambria Math" w:eastAsiaTheme="minorEastAsia" w:hAnsi="Cambria Math"/>
          </w:rPr>
          <m:t xml:space="preserve">g=10 </m:t>
        </m:r>
        <m:r>
          <m:rPr>
            <m:sty m:val="p"/>
          </m:rPr>
          <w:rPr>
            <w:rFonts w:ascii="Cambria Math" w:eastAsiaTheme="minorEastAsia" w:hAnsi="Cambria Math"/>
          </w:rPr>
          <m:t>m∙</m:t>
        </m:r>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oMath>
      <w:r>
        <w:rPr>
          <w:rFonts w:eastAsiaTheme="minorEastAsia"/>
        </w:rPr>
        <w:t>, viz tabulka 3.1.1.</w:t>
      </w:r>
    </w:p>
    <w:p w:rsidR="00352847" w:rsidRPr="00705CD6" w:rsidRDefault="00352847" w:rsidP="00352847">
      <w:pPr>
        <w:pStyle w:val="Bntextrga"/>
        <w:tabs>
          <w:tab w:val="left" w:pos="851"/>
        </w:tabs>
        <w:spacing w:line="360" w:lineRule="auto"/>
        <w:jc w:val="both"/>
        <w:rPr>
          <w:rFonts w:eastAsiaTheme="minorEastAsia"/>
        </w:rPr>
      </w:pPr>
      <w:r>
        <w:rPr>
          <w:rFonts w:eastAsiaTheme="minorEastAsia"/>
        </w:rPr>
        <w:tab/>
        <w:t xml:space="preserve">Na digitální váhy dále připevníme pomocí izolepy železný pásek nebo kruh. Pak pomocí stativového materiálu upevníme nad střed kruhu cívku a zasuneme do ní jádro tak, aby mezi jádrem a kruhem byla mezera cca 1 mm. Váhy vynulujeme, takže by měly v tomto stavu ukazovat hodnotu 0 g. K cívce připojíme multimetr VA18B, který nastavíme do režimu stejnosměrného ampérmetru. Proud protékající cívkou bude řádově stovky mA až jednotky ampér, takže zvolíme optimální rozsah. Volbu stejnosměrného měření proudu vybereme pomocí modrého tlačítka </w:t>
      </w:r>
      <w:proofErr w:type="spellStart"/>
      <w:r w:rsidRPr="002573B1">
        <w:rPr>
          <w:rFonts w:eastAsiaTheme="minorEastAsia"/>
          <w:i/>
        </w:rPr>
        <w:t>Select</w:t>
      </w:r>
      <w:proofErr w:type="spellEnd"/>
      <w:r>
        <w:rPr>
          <w:rFonts w:eastAsiaTheme="minorEastAsia"/>
        </w:rPr>
        <w:t xml:space="preserve"> v levé horní části přístroje. Na laboratorním zdroji napětí nastavíme regulaci proudu na maximum a postupně zvyšujeme napětí tak, abychom na displeji vah docílili postupně hodnoty 50 g, 100 g, 150 g, 200 g, 250 g, 300 g, 350 g, 400 g. Pro každou nastavenou hmotnost zapíšeme odpovídající hodnotu proudu určenou na VA18B. </w:t>
      </w:r>
    </w:p>
    <w:p w:rsidR="00352847" w:rsidRPr="007F6690" w:rsidRDefault="00352847" w:rsidP="00352847">
      <w:pPr>
        <w:pStyle w:val="Bntextrga"/>
        <w:tabs>
          <w:tab w:val="left" w:pos="851"/>
        </w:tabs>
        <w:spacing w:line="360" w:lineRule="auto"/>
        <w:jc w:val="center"/>
        <w:rPr>
          <w:rFonts w:eastAsiaTheme="minorEastAsia"/>
        </w:rPr>
      </w:pPr>
      <w:r>
        <w:rPr>
          <w:rFonts w:eastAsiaTheme="minorEastAsia"/>
          <w:noProof/>
          <w:lang w:eastAsia="cs-CZ"/>
        </w:rPr>
        <w:lastRenderedPageBreak/>
        <w:drawing>
          <wp:inline distT="0" distB="0" distL="0" distR="0" wp14:anchorId="05CB7EDA" wp14:editId="6ACE12E9">
            <wp:extent cx="5760085" cy="323977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1_mereni_magneticke_indukce_elektromagnet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r>
        <w:rPr>
          <w:rFonts w:eastAsiaTheme="minorEastAsia"/>
        </w:rPr>
        <w:br/>
      </w:r>
      <w:r>
        <w:rPr>
          <w:sz w:val="20"/>
          <w:szCs w:val="20"/>
        </w:rPr>
        <w:t xml:space="preserve">Obrázek 3.1.1 Uspořádání experimentu – </w:t>
      </w:r>
      <w:r w:rsidRPr="00A8162F">
        <w:rPr>
          <w:sz w:val="20"/>
          <w:szCs w:val="20"/>
        </w:rPr>
        <w:t xml:space="preserve">Měření </w:t>
      </w:r>
      <w:r>
        <w:rPr>
          <w:sz w:val="20"/>
          <w:szCs w:val="20"/>
        </w:rPr>
        <w:t>magnetické indukce elektromagnetu</w:t>
      </w:r>
    </w:p>
    <w:p w:rsidR="00352847" w:rsidRPr="000321BE" w:rsidRDefault="00352847" w:rsidP="00E75B1F">
      <w:pPr>
        <w:pStyle w:val="Bntextrga"/>
        <w:tabs>
          <w:tab w:val="left" w:pos="851"/>
        </w:tabs>
        <w:spacing w:line="360" w:lineRule="auto"/>
        <w:ind w:firstLine="708"/>
        <w:jc w:val="both"/>
        <w:rPr>
          <w:rFonts w:eastAsiaTheme="minorEastAsia"/>
        </w:rPr>
      </w:pPr>
      <w:r>
        <w:rPr>
          <w:rFonts w:eastAsiaTheme="minorEastAsia"/>
        </w:rPr>
        <w:tab/>
      </w:r>
      <w:r w:rsidR="00053CB3">
        <w:rPr>
          <w:rFonts w:eastAsiaTheme="minorEastAsia"/>
        </w:rPr>
        <w:br/>
      </w:r>
      <w:r>
        <w:rPr>
          <w:rFonts w:eastAsiaTheme="minorEastAsia"/>
        </w:rPr>
        <w:t xml:space="preserve">Výpočet permeability </w:t>
      </w:r>
      <m:oMath>
        <m:r>
          <w:rPr>
            <w:rFonts w:ascii="Cambria Math" w:eastAsia="Times New Roman" w:hAnsi="Cambria Math"/>
          </w:rPr>
          <m:t>μ</m:t>
        </m:r>
      </m:oMath>
      <w:r>
        <w:rPr>
          <w:rFonts w:eastAsiaTheme="minorEastAsia"/>
        </w:rPr>
        <w:t xml:space="preserve"> provedeme ze vztahu (3.1.3). V programu MS Excel určíme pomocí analytických nástrojů </w:t>
      </w:r>
      <w:r w:rsidR="00053CB3">
        <w:rPr>
          <w:rFonts w:eastAsiaTheme="minorEastAsia"/>
        </w:rPr>
        <w:t>nejistotu</w:t>
      </w:r>
      <w:r>
        <w:rPr>
          <w:rFonts w:eastAsiaTheme="minorEastAsia"/>
        </w:rPr>
        <w:t xml:space="preserve"> měření pro </w:t>
      </w:r>
      <m:oMath>
        <m:sSub>
          <m:sSubPr>
            <m:ctrlPr>
              <w:rPr>
                <w:rFonts w:ascii="Cambria Math" w:eastAsia="Times New Roman" w:hAnsi="Cambria Math"/>
                <w:i/>
              </w:rPr>
            </m:ctrlPr>
          </m:sSubPr>
          <m:e>
            <m:r>
              <w:rPr>
                <w:rFonts w:ascii="Cambria Math" w:eastAsia="Times New Roman" w:hAnsi="Cambria Math"/>
              </w:rPr>
              <m:t>μ</m:t>
            </m:r>
          </m:e>
          <m:sub>
            <m:r>
              <w:rPr>
                <w:rFonts w:ascii="Cambria Math" w:eastAsia="Times New Roman" w:hAnsi="Cambria Math"/>
              </w:rPr>
              <m:t>0</m:t>
            </m:r>
          </m:sub>
        </m:sSub>
      </m:oMath>
      <w:r>
        <w:rPr>
          <w:rFonts w:eastAsiaTheme="minorEastAsia"/>
        </w:rPr>
        <w:t xml:space="preserve">. Vzhledem k tomu, že se lineárně mění hodnota proudu, nemá smysl počítat </w:t>
      </w:r>
      <w:r w:rsidR="00053CB3">
        <w:rPr>
          <w:rFonts w:eastAsiaTheme="minorEastAsia"/>
        </w:rPr>
        <w:t>nejistoty</w:t>
      </w:r>
      <w:r>
        <w:rPr>
          <w:rFonts w:eastAsiaTheme="minorEastAsia"/>
        </w:rPr>
        <w:t xml:space="preserve"> měření standardním způsobem.</w:t>
      </w:r>
    </w:p>
    <w:p w:rsidR="00352847" w:rsidRPr="00A02EB0" w:rsidRDefault="00352847" w:rsidP="00352847">
      <w:pPr>
        <w:pStyle w:val="Bntextrga"/>
        <w:tabs>
          <w:tab w:val="left" w:pos="851"/>
        </w:tabs>
        <w:spacing w:line="360" w:lineRule="auto"/>
        <w:jc w:val="both"/>
        <w:rPr>
          <w:rFonts w:eastAsiaTheme="minorEastAsia"/>
        </w:rPr>
      </w:pPr>
      <w:r>
        <w:rPr>
          <w:rFonts w:eastAsiaTheme="minorEastAsia"/>
        </w:rPr>
        <w:tab/>
        <w:t xml:space="preserve">Námi naměřené hodnoty pro výpočet relativní permeability jádra cívky jsou uvedeny v tabulce 3.1.1. Délka cívky byla stanovena jako </w:t>
      </w:r>
      <m:oMath>
        <m:r>
          <w:rPr>
            <w:rFonts w:ascii="Cambria Math" w:eastAsiaTheme="minorEastAsia" w:hAnsi="Cambria Math"/>
          </w:rPr>
          <m:t xml:space="preserve">l=44 </m:t>
        </m:r>
        <m:r>
          <m:rPr>
            <m:sty m:val="p"/>
          </m:rPr>
          <w:rPr>
            <w:rFonts w:ascii="Cambria Math" w:eastAsiaTheme="minorEastAsia" w:hAnsi="Cambria Math"/>
          </w:rPr>
          <m:t>mm</m:t>
        </m:r>
        <m:r>
          <w:rPr>
            <w:rFonts w:ascii="Cambria Math" w:eastAsiaTheme="minorEastAsia" w:hAnsi="Cambria Math"/>
          </w:rPr>
          <m:t xml:space="preserve">=0,044 </m:t>
        </m:r>
        <m:r>
          <m:rPr>
            <m:sty m:val="p"/>
          </m:rPr>
          <w:rPr>
            <w:rFonts w:ascii="Cambria Math" w:eastAsiaTheme="minorEastAsia" w:hAnsi="Cambria Math"/>
          </w:rPr>
          <m:t>m</m:t>
        </m:r>
      </m:oMath>
      <w:r>
        <w:rPr>
          <w:rFonts w:eastAsiaTheme="minorEastAsia"/>
        </w:rPr>
        <w:t xml:space="preserve"> a rozměry jádra byly pomocí posuvného měřidla určeny jako 21 mm x 21 mm. Plocha průřezu je tedy přesně </w:t>
      </w:r>
      <m:oMath>
        <m:r>
          <w:rPr>
            <w:rFonts w:ascii="Cambria Math" w:eastAsiaTheme="minorEastAsia" w:hAnsi="Cambria Math"/>
          </w:rPr>
          <m:t>S=4,41∙1</m:t>
        </m:r>
        <m:sSup>
          <m:sSupPr>
            <m:ctrlPr>
              <w:rPr>
                <w:rFonts w:ascii="Cambria Math" w:eastAsiaTheme="minorEastAsia" w:hAnsi="Cambria Math"/>
                <w:i/>
              </w:rPr>
            </m:ctrlPr>
          </m:sSupPr>
          <m:e>
            <m:r>
              <w:rPr>
                <w:rFonts w:ascii="Cambria Math" w:eastAsiaTheme="minorEastAsia" w:hAnsi="Cambria Math"/>
              </w:rPr>
              <m:t>0</m:t>
            </m:r>
          </m:e>
          <m:sup>
            <m:r>
              <w:rPr>
                <w:rFonts w:ascii="Cambria Math" w:eastAsiaTheme="minorEastAsia" w:hAnsi="Cambria Math"/>
              </w:rPr>
              <m:t>-4</m:t>
            </m:r>
          </m:sup>
        </m:sSup>
      </m:oMath>
      <w:r>
        <w:rPr>
          <w:rFonts w:eastAsiaTheme="minorEastAsia"/>
        </w:rPr>
        <w:t xml:space="preserve"> m</w:t>
      </w:r>
      <w:r>
        <w:rPr>
          <w:rFonts w:eastAsiaTheme="minorEastAsia"/>
          <w:vertAlign w:val="superscript"/>
        </w:rPr>
        <w:t>2</w:t>
      </w:r>
      <w:r>
        <w:rPr>
          <w:rFonts w:eastAsiaTheme="minorEastAsia"/>
        </w:rPr>
        <w:t xml:space="preserve">. </w:t>
      </w:r>
    </w:p>
    <w:p w:rsidR="00352847" w:rsidRPr="0032541C" w:rsidRDefault="00E75B1F" w:rsidP="00352847">
      <w:pPr>
        <w:spacing w:after="12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b/>
          <w:sz w:val="24"/>
          <w:szCs w:val="24"/>
          <w:lang w:eastAsia="cs-CZ"/>
        </w:rPr>
        <w:br/>
      </w:r>
      <w:r w:rsidR="00352847">
        <w:rPr>
          <w:rFonts w:ascii="Times New Roman" w:eastAsiaTheme="minorEastAsia" w:hAnsi="Times New Roman" w:cs="Times New Roman"/>
          <w:b/>
          <w:sz w:val="24"/>
          <w:szCs w:val="24"/>
          <w:lang w:eastAsia="cs-CZ"/>
        </w:rPr>
        <w:t>Tabulka 3.1.1</w:t>
      </w:r>
      <w:r w:rsidR="00352847" w:rsidRPr="0032541C">
        <w:rPr>
          <w:rFonts w:ascii="Times New Roman" w:eastAsiaTheme="minorEastAsia" w:hAnsi="Times New Roman" w:cs="Times New Roman"/>
          <w:sz w:val="24"/>
          <w:szCs w:val="24"/>
          <w:lang w:eastAsia="cs-CZ"/>
        </w:rPr>
        <w:t xml:space="preserve"> </w:t>
      </w:r>
      <w:r w:rsidR="00352847">
        <w:rPr>
          <w:rFonts w:ascii="Times New Roman" w:eastAsiaTheme="minorEastAsia" w:hAnsi="Times New Roman" w:cs="Times New Roman"/>
          <w:sz w:val="24"/>
          <w:szCs w:val="24"/>
          <w:lang w:eastAsia="cs-CZ"/>
        </w:rPr>
        <w:t>Měření relativní permeability jádra elektromagnetu</w:t>
      </w:r>
    </w:p>
    <w:tbl>
      <w:tblPr>
        <w:tblStyle w:val="Mkatabulky3"/>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535"/>
        <w:gridCol w:w="1544"/>
        <w:gridCol w:w="2261"/>
        <w:gridCol w:w="2209"/>
      </w:tblGrid>
      <w:tr w:rsidR="00352847" w:rsidRPr="0032541C" w:rsidTr="00371F48">
        <w:trPr>
          <w:jc w:val="center"/>
        </w:trPr>
        <w:tc>
          <w:tcPr>
            <w:tcW w:w="1523" w:type="dxa"/>
            <w:tcBorders>
              <w:top w:val="single" w:sz="4" w:space="0" w:color="auto"/>
              <w:bottom w:val="single" w:sz="4" w:space="0" w:color="auto"/>
            </w:tcBorders>
            <w:tcMar>
              <w:top w:w="28" w:type="dxa"/>
              <w:bottom w:w="28" w:type="dxa"/>
            </w:tcMar>
            <w:vAlign w:val="center"/>
          </w:tcPr>
          <w:p w:rsidR="00352847" w:rsidRPr="0032541C" w:rsidRDefault="00352847" w:rsidP="00371F48">
            <w:pPr>
              <w:spacing w:after="120"/>
              <w:jc w:val="center"/>
            </w:pPr>
            <w:r w:rsidRPr="0032541C">
              <w:rPr>
                <w:i/>
              </w:rPr>
              <w:t>m</w:t>
            </w:r>
            <w:r w:rsidRPr="0032541C">
              <w:t xml:space="preserve"> (kg)</w:t>
            </w:r>
          </w:p>
        </w:tc>
        <w:tc>
          <w:tcPr>
            <w:tcW w:w="1535" w:type="dxa"/>
            <w:tcBorders>
              <w:top w:val="single" w:sz="4" w:space="0" w:color="auto"/>
              <w:bottom w:val="single" w:sz="4" w:space="0" w:color="auto"/>
            </w:tcBorders>
            <w:tcMar>
              <w:top w:w="28" w:type="dxa"/>
              <w:bottom w:w="28" w:type="dxa"/>
            </w:tcMar>
            <w:vAlign w:val="center"/>
          </w:tcPr>
          <w:p w:rsidR="00352847" w:rsidRPr="0032541C" w:rsidRDefault="00352847" w:rsidP="00371F48">
            <w:pPr>
              <w:spacing w:after="120"/>
              <w:jc w:val="center"/>
            </w:pPr>
            <m:oMath>
              <m:r>
                <w:rPr>
                  <w:rFonts w:ascii="Cambria Math" w:hAnsi="Cambria Math"/>
                </w:rPr>
                <m:t>F</m:t>
              </m:r>
            </m:oMath>
            <w:r>
              <w:t xml:space="preserve"> (N</w:t>
            </w:r>
            <w:r w:rsidRPr="0032541C">
              <w:t>)</w:t>
            </w:r>
          </w:p>
        </w:tc>
        <w:tc>
          <w:tcPr>
            <w:tcW w:w="1544" w:type="dxa"/>
            <w:tcBorders>
              <w:top w:val="single" w:sz="4" w:space="0" w:color="auto"/>
              <w:bottom w:val="single" w:sz="4" w:space="0" w:color="auto"/>
            </w:tcBorders>
            <w:tcMar>
              <w:top w:w="28" w:type="dxa"/>
              <w:bottom w:w="28" w:type="dxa"/>
            </w:tcMar>
            <w:vAlign w:val="center"/>
          </w:tcPr>
          <w:p w:rsidR="00352847" w:rsidRPr="0032541C" w:rsidRDefault="00352847" w:rsidP="00371F48">
            <w:pPr>
              <w:spacing w:after="120"/>
              <w:jc w:val="center"/>
            </w:pPr>
            <m:oMath>
              <m:r>
                <w:rPr>
                  <w:rFonts w:ascii="Cambria Math" w:hAnsi="Cambria Math"/>
                </w:rPr>
                <m:t>I</m:t>
              </m:r>
            </m:oMath>
            <w:r w:rsidRPr="0032541C">
              <w:t xml:space="preserve"> (</w:t>
            </w:r>
            <w:r>
              <w:t>A</w:t>
            </w:r>
            <w:r w:rsidRPr="0032541C">
              <w:t>)</w:t>
            </w:r>
          </w:p>
        </w:tc>
        <w:tc>
          <w:tcPr>
            <w:tcW w:w="2261" w:type="dxa"/>
            <w:tcBorders>
              <w:top w:val="single" w:sz="4" w:space="0" w:color="auto"/>
              <w:bottom w:val="single" w:sz="4" w:space="0" w:color="auto"/>
            </w:tcBorders>
            <w:tcMar>
              <w:top w:w="28" w:type="dxa"/>
              <w:bottom w:w="28" w:type="dxa"/>
            </w:tcMar>
          </w:tcPr>
          <w:p w:rsidR="00352847" w:rsidRPr="0032541C" w:rsidRDefault="00352847" w:rsidP="00371F48">
            <w:pPr>
              <w:spacing w:after="120"/>
              <w:jc w:val="center"/>
              <w:rPr>
                <w:rFonts w:eastAsia="Times New Roman"/>
              </w:rPr>
            </w:pPr>
            <m:oMath>
              <m:r>
                <w:rPr>
                  <w:rFonts w:ascii="Cambria Math" w:eastAsia="Times New Roman" w:hAnsi="Cambria Math"/>
                </w:rPr>
                <m:t>μ</m:t>
              </m:r>
            </m:oMath>
            <w:r w:rsidRPr="0032541C">
              <w:rPr>
                <w:rFonts w:eastAsia="Times New Roman"/>
              </w:rPr>
              <w:t xml:space="preserve"> (</w:t>
            </w:r>
            <m:oMath>
              <m:r>
                <w:rPr>
                  <w:rFonts w:ascii="Cambria Math" w:eastAsia="Times New Roman" w:hAnsi="Cambria Math"/>
                </w:rPr>
                <m:t>∙1</m:t>
              </m:r>
              <m:sSup>
                <m:sSupPr>
                  <m:ctrlPr>
                    <w:rPr>
                      <w:rFonts w:ascii="Cambria Math" w:eastAsia="Times New Roman" w:hAnsi="Cambria Math"/>
                      <w:i/>
                    </w:rPr>
                  </m:ctrlPr>
                </m:sSupPr>
                <m:e>
                  <m:r>
                    <w:rPr>
                      <w:rFonts w:ascii="Cambria Math" w:eastAsia="Times New Roman" w:hAnsi="Cambria Math"/>
                    </w:rPr>
                    <m:t>0</m:t>
                  </m:r>
                </m:e>
                <m:sup>
                  <m:r>
                    <w:rPr>
                      <w:rFonts w:ascii="Cambria Math" w:eastAsia="Times New Roman" w:hAnsi="Cambria Math"/>
                    </w:rPr>
                    <m:t>-5</m:t>
                  </m:r>
                </m:sup>
              </m:sSup>
              <m:r>
                <m:rPr>
                  <m:sty m:val="p"/>
                </m:rPr>
                <w:rPr>
                  <w:rFonts w:ascii="Cambria Math" w:hAnsi="Cambria Math"/>
                </w:rPr>
                <m:t xml:space="preserve"> H∙</m:t>
              </m:r>
              <m:sSup>
                <m:sSupPr>
                  <m:ctrlPr>
                    <w:rPr>
                      <w:rFonts w:ascii="Cambria Math" w:eastAsiaTheme="minorHAnsi" w:hAnsi="Cambria Math" w:cstheme="minorBidi"/>
                      <w:szCs w:val="22"/>
                      <w:lang w:eastAsia="en-US"/>
                    </w:rPr>
                  </m:ctrlPr>
                </m:sSupPr>
                <m:e>
                  <m:r>
                    <m:rPr>
                      <m:sty m:val="p"/>
                    </m:rPr>
                    <w:rPr>
                      <w:rFonts w:ascii="Cambria Math" w:hAnsi="Cambria Math"/>
                    </w:rPr>
                    <m:t>m</m:t>
                  </m:r>
                </m:e>
                <m:sup>
                  <m:r>
                    <m:rPr>
                      <m:sty m:val="p"/>
                    </m:rPr>
                    <w:rPr>
                      <w:rFonts w:ascii="Cambria Math" w:hAnsi="Cambria Math"/>
                    </w:rPr>
                    <m:t>-1</m:t>
                  </m:r>
                </m:sup>
              </m:sSup>
            </m:oMath>
            <w:r w:rsidRPr="0032541C">
              <w:rPr>
                <w:rFonts w:eastAsia="Times New Roman"/>
              </w:rPr>
              <w:t>)</w:t>
            </w:r>
          </w:p>
        </w:tc>
        <w:tc>
          <w:tcPr>
            <w:tcW w:w="2209" w:type="dxa"/>
            <w:tcBorders>
              <w:top w:val="single" w:sz="4" w:space="0" w:color="auto"/>
              <w:bottom w:val="single" w:sz="4" w:space="0" w:color="auto"/>
            </w:tcBorders>
            <w:tcMar>
              <w:top w:w="28" w:type="dxa"/>
              <w:bottom w:w="28" w:type="dxa"/>
            </w:tcMar>
          </w:tcPr>
          <w:p w:rsidR="00352847" w:rsidRPr="0032541C" w:rsidRDefault="00D81207" w:rsidP="00371F48">
            <w:pPr>
              <w:spacing w:after="120"/>
              <w:jc w:val="center"/>
              <w:rPr>
                <w:rFonts w:eastAsia="Times New Roman"/>
              </w:rPr>
            </w:pPr>
            <m:oMathPara>
              <m:oMath>
                <m:sSub>
                  <m:sSubPr>
                    <m:ctrlPr>
                      <w:rPr>
                        <w:rFonts w:ascii="Cambria Math" w:eastAsia="Times New Roman" w:hAnsi="Cambria Math"/>
                        <w:i/>
                      </w:rPr>
                    </m:ctrlPr>
                  </m:sSubPr>
                  <m:e>
                    <m:r>
                      <w:rPr>
                        <w:rFonts w:ascii="Cambria Math" w:eastAsia="Times New Roman" w:hAnsi="Cambria Math"/>
                      </w:rPr>
                      <m:t>μ</m:t>
                    </m:r>
                  </m:e>
                  <m:sub>
                    <m:r>
                      <w:rPr>
                        <w:rFonts w:ascii="Cambria Math" w:eastAsia="Times New Roman" w:hAnsi="Cambria Math"/>
                      </w:rPr>
                      <m:t>r</m:t>
                    </m:r>
                  </m:sub>
                </m:sSub>
              </m:oMath>
            </m:oMathPara>
          </w:p>
        </w:tc>
      </w:tr>
      <w:tr w:rsidR="00352847" w:rsidRPr="0032541C" w:rsidTr="00371F48">
        <w:trPr>
          <w:jc w:val="center"/>
        </w:trPr>
        <w:tc>
          <w:tcPr>
            <w:tcW w:w="1523" w:type="dxa"/>
            <w:tcBorders>
              <w:top w:val="single" w:sz="4" w:space="0" w:color="auto"/>
            </w:tcBorders>
            <w:tcMar>
              <w:top w:w="28" w:type="dxa"/>
              <w:bottom w:w="28" w:type="dxa"/>
            </w:tcMar>
            <w:vAlign w:val="center"/>
          </w:tcPr>
          <w:p w:rsidR="00352847" w:rsidRPr="0032541C" w:rsidRDefault="00352847" w:rsidP="00371F48">
            <w:pPr>
              <w:spacing w:after="120"/>
              <w:jc w:val="center"/>
            </w:pPr>
            <w:r>
              <w:t>0,05</w:t>
            </w:r>
          </w:p>
        </w:tc>
        <w:tc>
          <w:tcPr>
            <w:tcW w:w="1535" w:type="dxa"/>
            <w:tcBorders>
              <w:top w:val="single" w:sz="4" w:space="0" w:color="auto"/>
            </w:tcBorders>
            <w:tcMar>
              <w:top w:w="28" w:type="dxa"/>
              <w:bottom w:w="28" w:type="dxa"/>
            </w:tcMar>
            <w:vAlign w:val="center"/>
          </w:tcPr>
          <w:p w:rsidR="00352847" w:rsidRPr="0032541C" w:rsidRDefault="00352847" w:rsidP="00371F48">
            <w:pPr>
              <w:spacing w:after="120"/>
              <w:jc w:val="center"/>
            </w:pPr>
            <w:r>
              <w:t>0,5</w:t>
            </w:r>
          </w:p>
        </w:tc>
        <w:tc>
          <w:tcPr>
            <w:tcW w:w="1544" w:type="dxa"/>
            <w:tcBorders>
              <w:top w:val="single" w:sz="4" w:space="0" w:color="auto"/>
            </w:tcBorders>
            <w:tcMar>
              <w:top w:w="28" w:type="dxa"/>
              <w:bottom w:w="28" w:type="dxa"/>
            </w:tcMar>
          </w:tcPr>
          <w:p w:rsidR="00352847" w:rsidRPr="0032541C" w:rsidRDefault="00352847" w:rsidP="00371F48">
            <w:pPr>
              <w:jc w:val="center"/>
            </w:pPr>
            <w:r>
              <w:t>0,51</w:t>
            </w:r>
          </w:p>
        </w:tc>
        <w:tc>
          <w:tcPr>
            <w:tcW w:w="2261" w:type="dxa"/>
            <w:tcBorders>
              <w:top w:val="single" w:sz="4" w:space="0" w:color="auto"/>
            </w:tcBorders>
            <w:tcMar>
              <w:top w:w="28" w:type="dxa"/>
              <w:bottom w:w="28" w:type="dxa"/>
            </w:tcMar>
          </w:tcPr>
          <w:p w:rsidR="00352847" w:rsidRPr="0032541C" w:rsidRDefault="00352847" w:rsidP="00371F48">
            <w:pPr>
              <w:jc w:val="center"/>
            </w:pPr>
            <w:r>
              <w:t>4,60</w:t>
            </w:r>
          </w:p>
        </w:tc>
        <w:tc>
          <w:tcPr>
            <w:tcW w:w="2209" w:type="dxa"/>
            <w:tcBorders>
              <w:top w:val="single" w:sz="4" w:space="0" w:color="auto"/>
            </w:tcBorders>
            <w:tcMar>
              <w:top w:w="28" w:type="dxa"/>
              <w:bottom w:w="28" w:type="dxa"/>
            </w:tcMar>
          </w:tcPr>
          <w:p w:rsidR="00352847" w:rsidRPr="0032541C" w:rsidRDefault="00352847" w:rsidP="00371F48">
            <w:pPr>
              <w:jc w:val="center"/>
            </w:pPr>
            <w:r>
              <w:t>37</w:t>
            </w:r>
          </w:p>
        </w:tc>
      </w:tr>
      <w:tr w:rsidR="00352847" w:rsidRPr="0032541C" w:rsidTr="00371F48">
        <w:trPr>
          <w:jc w:val="center"/>
        </w:trPr>
        <w:tc>
          <w:tcPr>
            <w:tcW w:w="1523" w:type="dxa"/>
            <w:tcMar>
              <w:top w:w="28" w:type="dxa"/>
              <w:bottom w:w="28" w:type="dxa"/>
            </w:tcMar>
            <w:vAlign w:val="center"/>
          </w:tcPr>
          <w:p w:rsidR="00352847" w:rsidRPr="0032541C" w:rsidRDefault="00352847" w:rsidP="00371F48">
            <w:pPr>
              <w:spacing w:after="120"/>
              <w:jc w:val="center"/>
            </w:pPr>
            <w:r>
              <w:t>0,10</w:t>
            </w:r>
          </w:p>
        </w:tc>
        <w:tc>
          <w:tcPr>
            <w:tcW w:w="1535" w:type="dxa"/>
            <w:tcMar>
              <w:top w:w="28" w:type="dxa"/>
              <w:bottom w:w="28" w:type="dxa"/>
            </w:tcMar>
            <w:vAlign w:val="center"/>
          </w:tcPr>
          <w:p w:rsidR="00352847" w:rsidRPr="0032541C" w:rsidRDefault="00352847" w:rsidP="00371F48">
            <w:pPr>
              <w:spacing w:after="120"/>
              <w:jc w:val="center"/>
            </w:pPr>
            <w:r>
              <w:t>1,0</w:t>
            </w:r>
          </w:p>
        </w:tc>
        <w:tc>
          <w:tcPr>
            <w:tcW w:w="1544" w:type="dxa"/>
            <w:tcMar>
              <w:top w:w="28" w:type="dxa"/>
              <w:bottom w:w="28" w:type="dxa"/>
            </w:tcMar>
          </w:tcPr>
          <w:p w:rsidR="00352847" w:rsidRPr="0032541C" w:rsidRDefault="00352847" w:rsidP="00371F48">
            <w:pPr>
              <w:jc w:val="center"/>
            </w:pPr>
            <w:r>
              <w:t>0,72</w:t>
            </w:r>
          </w:p>
        </w:tc>
        <w:tc>
          <w:tcPr>
            <w:tcW w:w="2261" w:type="dxa"/>
            <w:tcMar>
              <w:top w:w="28" w:type="dxa"/>
              <w:bottom w:w="28" w:type="dxa"/>
            </w:tcMar>
          </w:tcPr>
          <w:p w:rsidR="00352847" w:rsidRPr="0032541C" w:rsidRDefault="00352847" w:rsidP="00371F48">
            <w:pPr>
              <w:jc w:val="center"/>
            </w:pPr>
            <w:r>
              <w:t>4,75</w:t>
            </w:r>
          </w:p>
        </w:tc>
        <w:tc>
          <w:tcPr>
            <w:tcW w:w="2209" w:type="dxa"/>
            <w:tcMar>
              <w:top w:w="28" w:type="dxa"/>
              <w:bottom w:w="28" w:type="dxa"/>
            </w:tcMar>
          </w:tcPr>
          <w:p w:rsidR="00352847" w:rsidRPr="0032541C" w:rsidRDefault="00352847" w:rsidP="00371F48">
            <w:pPr>
              <w:jc w:val="center"/>
            </w:pPr>
            <w:r>
              <w:t>38</w:t>
            </w:r>
          </w:p>
        </w:tc>
      </w:tr>
      <w:tr w:rsidR="00352847" w:rsidRPr="0032541C" w:rsidTr="00371F48">
        <w:trPr>
          <w:jc w:val="center"/>
        </w:trPr>
        <w:tc>
          <w:tcPr>
            <w:tcW w:w="1523" w:type="dxa"/>
            <w:tcMar>
              <w:top w:w="28" w:type="dxa"/>
              <w:bottom w:w="28" w:type="dxa"/>
            </w:tcMar>
            <w:vAlign w:val="center"/>
          </w:tcPr>
          <w:p w:rsidR="00352847" w:rsidRPr="0032541C" w:rsidRDefault="00352847" w:rsidP="00371F48">
            <w:pPr>
              <w:spacing w:after="120"/>
              <w:jc w:val="center"/>
            </w:pPr>
            <w:r>
              <w:t>0,15</w:t>
            </w:r>
          </w:p>
        </w:tc>
        <w:tc>
          <w:tcPr>
            <w:tcW w:w="1535" w:type="dxa"/>
            <w:tcMar>
              <w:top w:w="28" w:type="dxa"/>
              <w:bottom w:w="28" w:type="dxa"/>
            </w:tcMar>
            <w:vAlign w:val="center"/>
          </w:tcPr>
          <w:p w:rsidR="00352847" w:rsidRPr="0032541C" w:rsidRDefault="00352847" w:rsidP="00371F48">
            <w:pPr>
              <w:spacing w:after="120"/>
              <w:jc w:val="center"/>
            </w:pPr>
            <w:r>
              <w:t>1,5</w:t>
            </w:r>
          </w:p>
        </w:tc>
        <w:tc>
          <w:tcPr>
            <w:tcW w:w="1544" w:type="dxa"/>
            <w:tcMar>
              <w:top w:w="28" w:type="dxa"/>
              <w:bottom w:w="28" w:type="dxa"/>
            </w:tcMar>
          </w:tcPr>
          <w:p w:rsidR="00352847" w:rsidRPr="0032541C" w:rsidRDefault="00352847" w:rsidP="00371F48">
            <w:pPr>
              <w:jc w:val="center"/>
            </w:pPr>
            <w:r>
              <w:t>0,87</w:t>
            </w:r>
          </w:p>
        </w:tc>
        <w:tc>
          <w:tcPr>
            <w:tcW w:w="2261" w:type="dxa"/>
            <w:tcMar>
              <w:top w:w="28" w:type="dxa"/>
              <w:bottom w:w="28" w:type="dxa"/>
            </w:tcMar>
          </w:tcPr>
          <w:p w:rsidR="00352847" w:rsidRPr="0032541C" w:rsidRDefault="00352847" w:rsidP="00371F48">
            <w:pPr>
              <w:jc w:val="center"/>
            </w:pPr>
            <w:r>
              <w:t>4,85</w:t>
            </w:r>
          </w:p>
        </w:tc>
        <w:tc>
          <w:tcPr>
            <w:tcW w:w="2209" w:type="dxa"/>
            <w:tcMar>
              <w:top w:w="28" w:type="dxa"/>
              <w:bottom w:w="28" w:type="dxa"/>
            </w:tcMar>
          </w:tcPr>
          <w:p w:rsidR="00352847" w:rsidRPr="0032541C" w:rsidRDefault="00352847" w:rsidP="00371F48">
            <w:pPr>
              <w:jc w:val="center"/>
            </w:pPr>
            <w:r>
              <w:t>39</w:t>
            </w:r>
          </w:p>
        </w:tc>
      </w:tr>
      <w:tr w:rsidR="00352847" w:rsidRPr="0032541C" w:rsidTr="00371F48">
        <w:trPr>
          <w:jc w:val="center"/>
        </w:trPr>
        <w:tc>
          <w:tcPr>
            <w:tcW w:w="1523" w:type="dxa"/>
            <w:tcMar>
              <w:top w:w="28" w:type="dxa"/>
              <w:bottom w:w="28" w:type="dxa"/>
            </w:tcMar>
            <w:vAlign w:val="center"/>
          </w:tcPr>
          <w:p w:rsidR="00352847" w:rsidRPr="0032541C" w:rsidRDefault="00352847" w:rsidP="00371F48">
            <w:pPr>
              <w:spacing w:after="120"/>
              <w:jc w:val="center"/>
            </w:pPr>
            <w:r>
              <w:t>0,20</w:t>
            </w:r>
          </w:p>
        </w:tc>
        <w:tc>
          <w:tcPr>
            <w:tcW w:w="1535" w:type="dxa"/>
            <w:tcMar>
              <w:top w:w="28" w:type="dxa"/>
              <w:bottom w:w="28" w:type="dxa"/>
            </w:tcMar>
            <w:vAlign w:val="center"/>
          </w:tcPr>
          <w:p w:rsidR="00352847" w:rsidRPr="0032541C" w:rsidRDefault="00352847" w:rsidP="00371F48">
            <w:pPr>
              <w:spacing w:after="120"/>
              <w:jc w:val="center"/>
            </w:pPr>
            <w:r>
              <w:t>2,0</w:t>
            </w:r>
          </w:p>
        </w:tc>
        <w:tc>
          <w:tcPr>
            <w:tcW w:w="1544" w:type="dxa"/>
            <w:tcMar>
              <w:top w:w="28" w:type="dxa"/>
              <w:bottom w:w="28" w:type="dxa"/>
            </w:tcMar>
          </w:tcPr>
          <w:p w:rsidR="00352847" w:rsidRPr="0032541C" w:rsidRDefault="00352847" w:rsidP="00371F48">
            <w:pPr>
              <w:jc w:val="center"/>
            </w:pPr>
            <w:r>
              <w:t>0,97</w:t>
            </w:r>
          </w:p>
        </w:tc>
        <w:tc>
          <w:tcPr>
            <w:tcW w:w="2261" w:type="dxa"/>
            <w:tcMar>
              <w:top w:w="28" w:type="dxa"/>
              <w:bottom w:w="28" w:type="dxa"/>
            </w:tcMar>
          </w:tcPr>
          <w:p w:rsidR="00352847" w:rsidRPr="0032541C" w:rsidRDefault="00352847" w:rsidP="00371F48">
            <w:pPr>
              <w:jc w:val="center"/>
            </w:pPr>
            <w:r>
              <w:t>5,19</w:t>
            </w:r>
          </w:p>
        </w:tc>
        <w:tc>
          <w:tcPr>
            <w:tcW w:w="2209" w:type="dxa"/>
            <w:tcMar>
              <w:top w:w="28" w:type="dxa"/>
              <w:bottom w:w="28" w:type="dxa"/>
            </w:tcMar>
          </w:tcPr>
          <w:p w:rsidR="00352847" w:rsidRPr="0032541C" w:rsidRDefault="00352847" w:rsidP="00371F48">
            <w:pPr>
              <w:jc w:val="center"/>
            </w:pPr>
            <w:r>
              <w:t>41</w:t>
            </w:r>
          </w:p>
        </w:tc>
      </w:tr>
      <w:tr w:rsidR="00352847" w:rsidRPr="0032541C" w:rsidTr="00371F48">
        <w:trPr>
          <w:jc w:val="center"/>
        </w:trPr>
        <w:tc>
          <w:tcPr>
            <w:tcW w:w="1523" w:type="dxa"/>
            <w:tcMar>
              <w:top w:w="28" w:type="dxa"/>
              <w:bottom w:w="28" w:type="dxa"/>
            </w:tcMar>
            <w:vAlign w:val="center"/>
          </w:tcPr>
          <w:p w:rsidR="00352847" w:rsidRPr="0032541C" w:rsidRDefault="00352847" w:rsidP="00371F48">
            <w:pPr>
              <w:spacing w:after="120"/>
              <w:jc w:val="center"/>
            </w:pPr>
            <w:r>
              <w:t>0,25</w:t>
            </w:r>
          </w:p>
        </w:tc>
        <w:tc>
          <w:tcPr>
            <w:tcW w:w="1535" w:type="dxa"/>
            <w:tcMar>
              <w:top w:w="28" w:type="dxa"/>
              <w:bottom w:w="28" w:type="dxa"/>
            </w:tcMar>
            <w:vAlign w:val="center"/>
          </w:tcPr>
          <w:p w:rsidR="00352847" w:rsidRPr="0032541C" w:rsidRDefault="00352847" w:rsidP="00371F48">
            <w:pPr>
              <w:spacing w:after="120"/>
              <w:jc w:val="center"/>
            </w:pPr>
            <w:r>
              <w:t>2,5</w:t>
            </w:r>
          </w:p>
        </w:tc>
        <w:tc>
          <w:tcPr>
            <w:tcW w:w="1544" w:type="dxa"/>
            <w:tcMar>
              <w:top w:w="28" w:type="dxa"/>
              <w:bottom w:w="28" w:type="dxa"/>
            </w:tcMar>
          </w:tcPr>
          <w:p w:rsidR="00352847" w:rsidRPr="0032541C" w:rsidRDefault="00352847" w:rsidP="00371F48">
            <w:pPr>
              <w:jc w:val="center"/>
            </w:pPr>
            <w:r>
              <w:t>1,09</w:t>
            </w:r>
          </w:p>
        </w:tc>
        <w:tc>
          <w:tcPr>
            <w:tcW w:w="2261" w:type="dxa"/>
            <w:tcMar>
              <w:top w:w="28" w:type="dxa"/>
              <w:bottom w:w="28" w:type="dxa"/>
            </w:tcMar>
          </w:tcPr>
          <w:p w:rsidR="00352847" w:rsidRPr="0032541C" w:rsidRDefault="00352847" w:rsidP="00371F48">
            <w:pPr>
              <w:jc w:val="center"/>
            </w:pPr>
            <w:r>
              <w:t>5,12</w:t>
            </w:r>
          </w:p>
        </w:tc>
        <w:tc>
          <w:tcPr>
            <w:tcW w:w="2209" w:type="dxa"/>
            <w:tcMar>
              <w:top w:w="28" w:type="dxa"/>
              <w:bottom w:w="28" w:type="dxa"/>
            </w:tcMar>
          </w:tcPr>
          <w:p w:rsidR="00352847" w:rsidRPr="0032541C" w:rsidRDefault="00352847" w:rsidP="00371F48">
            <w:pPr>
              <w:jc w:val="center"/>
            </w:pPr>
            <w:r>
              <w:t>41</w:t>
            </w:r>
          </w:p>
        </w:tc>
      </w:tr>
      <w:tr w:rsidR="00352847" w:rsidRPr="0032541C" w:rsidTr="00371F48">
        <w:trPr>
          <w:jc w:val="center"/>
        </w:trPr>
        <w:tc>
          <w:tcPr>
            <w:tcW w:w="1523" w:type="dxa"/>
            <w:tcMar>
              <w:top w:w="28" w:type="dxa"/>
              <w:bottom w:w="28" w:type="dxa"/>
            </w:tcMar>
            <w:vAlign w:val="center"/>
          </w:tcPr>
          <w:p w:rsidR="00352847" w:rsidRPr="0032541C" w:rsidRDefault="00352847" w:rsidP="00371F48">
            <w:pPr>
              <w:spacing w:after="120"/>
              <w:jc w:val="center"/>
            </w:pPr>
            <w:r>
              <w:t>0,30</w:t>
            </w:r>
          </w:p>
        </w:tc>
        <w:tc>
          <w:tcPr>
            <w:tcW w:w="1535" w:type="dxa"/>
            <w:tcMar>
              <w:top w:w="28" w:type="dxa"/>
              <w:bottom w:w="28" w:type="dxa"/>
            </w:tcMar>
            <w:vAlign w:val="center"/>
          </w:tcPr>
          <w:p w:rsidR="00352847" w:rsidRPr="0032541C" w:rsidRDefault="00352847" w:rsidP="00371F48">
            <w:pPr>
              <w:spacing w:after="120"/>
              <w:jc w:val="center"/>
            </w:pPr>
            <w:r>
              <w:t>3,0</w:t>
            </w:r>
          </w:p>
        </w:tc>
        <w:tc>
          <w:tcPr>
            <w:tcW w:w="1544" w:type="dxa"/>
            <w:tcMar>
              <w:top w:w="28" w:type="dxa"/>
              <w:bottom w:w="28" w:type="dxa"/>
            </w:tcMar>
          </w:tcPr>
          <w:p w:rsidR="00352847" w:rsidRPr="0032541C" w:rsidRDefault="00352847" w:rsidP="00371F48">
            <w:pPr>
              <w:jc w:val="center"/>
            </w:pPr>
            <w:r>
              <w:t>1,21</w:t>
            </w:r>
          </w:p>
        </w:tc>
        <w:tc>
          <w:tcPr>
            <w:tcW w:w="2261" w:type="dxa"/>
            <w:tcMar>
              <w:top w:w="28" w:type="dxa"/>
              <w:bottom w:w="28" w:type="dxa"/>
            </w:tcMar>
          </w:tcPr>
          <w:p w:rsidR="00352847" w:rsidRPr="0032541C" w:rsidRDefault="00352847" w:rsidP="00371F48">
            <w:pPr>
              <w:jc w:val="center"/>
            </w:pPr>
            <w:r>
              <w:t>4,98</w:t>
            </w:r>
          </w:p>
        </w:tc>
        <w:tc>
          <w:tcPr>
            <w:tcW w:w="2209" w:type="dxa"/>
            <w:tcMar>
              <w:top w:w="28" w:type="dxa"/>
              <w:bottom w:w="28" w:type="dxa"/>
            </w:tcMar>
          </w:tcPr>
          <w:p w:rsidR="00352847" w:rsidRPr="0032541C" w:rsidRDefault="00352847" w:rsidP="00371F48">
            <w:pPr>
              <w:jc w:val="center"/>
            </w:pPr>
            <w:r>
              <w:t>40</w:t>
            </w:r>
          </w:p>
        </w:tc>
      </w:tr>
      <w:tr w:rsidR="00352847" w:rsidRPr="0032541C" w:rsidTr="00371F48">
        <w:trPr>
          <w:jc w:val="center"/>
        </w:trPr>
        <w:tc>
          <w:tcPr>
            <w:tcW w:w="1523" w:type="dxa"/>
            <w:tcBorders>
              <w:bottom w:val="single" w:sz="4" w:space="0" w:color="auto"/>
            </w:tcBorders>
            <w:tcMar>
              <w:top w:w="28" w:type="dxa"/>
              <w:bottom w:w="28" w:type="dxa"/>
            </w:tcMar>
            <w:vAlign w:val="center"/>
          </w:tcPr>
          <w:p w:rsidR="00352847" w:rsidRPr="0032541C" w:rsidRDefault="00352847" w:rsidP="00371F48">
            <w:pPr>
              <w:spacing w:after="120"/>
              <w:jc w:val="center"/>
            </w:pPr>
            <w:r>
              <w:t>0,35</w:t>
            </w:r>
          </w:p>
        </w:tc>
        <w:tc>
          <w:tcPr>
            <w:tcW w:w="1535" w:type="dxa"/>
            <w:tcBorders>
              <w:bottom w:val="single" w:sz="4" w:space="0" w:color="auto"/>
            </w:tcBorders>
            <w:tcMar>
              <w:top w:w="28" w:type="dxa"/>
              <w:bottom w:w="28" w:type="dxa"/>
            </w:tcMar>
            <w:vAlign w:val="center"/>
          </w:tcPr>
          <w:p w:rsidR="00352847" w:rsidRPr="0032541C" w:rsidRDefault="00352847" w:rsidP="00371F48">
            <w:pPr>
              <w:spacing w:after="120"/>
              <w:jc w:val="center"/>
            </w:pPr>
            <w:r>
              <w:t>3,5</w:t>
            </w:r>
          </w:p>
        </w:tc>
        <w:tc>
          <w:tcPr>
            <w:tcW w:w="1544" w:type="dxa"/>
            <w:tcBorders>
              <w:bottom w:val="single" w:sz="4" w:space="0" w:color="auto"/>
            </w:tcBorders>
            <w:tcMar>
              <w:top w:w="28" w:type="dxa"/>
              <w:bottom w:w="28" w:type="dxa"/>
            </w:tcMar>
          </w:tcPr>
          <w:p w:rsidR="00352847" w:rsidRPr="0032541C" w:rsidRDefault="00352847" w:rsidP="00371F48">
            <w:pPr>
              <w:jc w:val="center"/>
            </w:pPr>
            <w:r>
              <w:t>1,34</w:t>
            </w:r>
          </w:p>
        </w:tc>
        <w:tc>
          <w:tcPr>
            <w:tcW w:w="2261" w:type="dxa"/>
            <w:tcBorders>
              <w:bottom w:val="single" w:sz="4" w:space="0" w:color="auto"/>
            </w:tcBorders>
            <w:tcMar>
              <w:top w:w="28" w:type="dxa"/>
              <w:bottom w:w="28" w:type="dxa"/>
            </w:tcMar>
          </w:tcPr>
          <w:p w:rsidR="00352847" w:rsidRPr="0032541C" w:rsidRDefault="00352847" w:rsidP="00371F48">
            <w:pPr>
              <w:jc w:val="center"/>
            </w:pPr>
            <w:r>
              <w:t>4,73</w:t>
            </w:r>
          </w:p>
        </w:tc>
        <w:tc>
          <w:tcPr>
            <w:tcW w:w="2209" w:type="dxa"/>
            <w:tcBorders>
              <w:bottom w:val="single" w:sz="4" w:space="0" w:color="auto"/>
            </w:tcBorders>
            <w:tcMar>
              <w:top w:w="28" w:type="dxa"/>
              <w:bottom w:w="28" w:type="dxa"/>
            </w:tcMar>
          </w:tcPr>
          <w:p w:rsidR="00352847" w:rsidRPr="0032541C" w:rsidRDefault="00352847" w:rsidP="00371F48">
            <w:pPr>
              <w:jc w:val="center"/>
            </w:pPr>
            <w:r>
              <w:t>38</w:t>
            </w:r>
          </w:p>
        </w:tc>
      </w:tr>
    </w:tbl>
    <w:p w:rsidR="00352847" w:rsidRPr="00981335" w:rsidRDefault="00352847" w:rsidP="00352847">
      <w:pPr>
        <w:pStyle w:val="Bntextrga"/>
        <w:tabs>
          <w:tab w:val="left" w:pos="851"/>
        </w:tabs>
        <w:spacing w:line="360" w:lineRule="auto"/>
        <w:jc w:val="both"/>
        <w:rPr>
          <w:rFonts w:eastAsiaTheme="minorEastAsia"/>
        </w:rPr>
      </w:pPr>
      <w:r>
        <w:rPr>
          <w:rFonts w:eastAsiaTheme="minorEastAsia"/>
        </w:rPr>
        <w:lastRenderedPageBreak/>
        <w:t xml:space="preserve">Průměrná hodnota relativní permeability podle tabulky 3.1.1 má velikost </w:t>
      </w:r>
      <m:oMath>
        <m:r>
          <m:rPr>
            <m:sty m:val="p"/>
          </m:rPr>
          <w:rPr>
            <w:rFonts w:ascii="Cambria Math" w:eastAsia="Times New Roman" w:hAnsi="Cambria Math"/>
          </w:rPr>
          <w:br/>
        </m:r>
        <m:sSub>
          <m:sSubPr>
            <m:ctrlPr>
              <w:rPr>
                <w:rFonts w:ascii="Cambria Math" w:eastAsia="Times New Roman" w:hAnsi="Cambria Math"/>
                <w:i/>
              </w:rPr>
            </m:ctrlPr>
          </m:sSubPr>
          <m:e>
            <m:r>
              <w:rPr>
                <w:rFonts w:ascii="Cambria Math" w:eastAsia="Times New Roman" w:hAnsi="Cambria Math"/>
              </w:rPr>
              <m:t>μ</m:t>
            </m:r>
          </m:e>
          <m:sub>
            <m:r>
              <w:rPr>
                <w:rFonts w:ascii="Cambria Math" w:eastAsia="Times New Roman" w:hAnsi="Cambria Math"/>
              </w:rPr>
              <m:t>r</m:t>
            </m:r>
          </m:sub>
        </m:sSub>
        <m:r>
          <w:rPr>
            <w:rFonts w:ascii="Cambria Math" w:eastAsia="Times New Roman" w:hAnsi="Cambria Math"/>
          </w:rPr>
          <m:t>=39±1</m:t>
        </m:r>
      </m:oMath>
      <w:r>
        <w:rPr>
          <w:rFonts w:eastAsiaTheme="minorEastAsia"/>
        </w:rPr>
        <w:t xml:space="preserve">. V dalších výpočtech tedy budeme uvažovat hodnotu </w:t>
      </w:r>
      <m:oMath>
        <m:sSub>
          <m:sSubPr>
            <m:ctrlPr>
              <w:rPr>
                <w:rFonts w:ascii="Cambria Math" w:eastAsia="Times New Roman" w:hAnsi="Cambria Math"/>
                <w:i/>
              </w:rPr>
            </m:ctrlPr>
          </m:sSubPr>
          <m:e>
            <m:r>
              <w:rPr>
                <w:rFonts w:ascii="Cambria Math" w:eastAsia="Times New Roman" w:hAnsi="Cambria Math"/>
              </w:rPr>
              <m:t>μ</m:t>
            </m:r>
          </m:e>
          <m:sub>
            <m:r>
              <w:rPr>
                <w:rFonts w:ascii="Cambria Math" w:eastAsia="Times New Roman" w:hAnsi="Cambria Math"/>
              </w:rPr>
              <m:t>r</m:t>
            </m:r>
          </m:sub>
        </m:sSub>
        <m:r>
          <w:rPr>
            <w:rFonts w:ascii="Cambria Math" w:eastAsia="Times New Roman" w:hAnsi="Cambria Math"/>
          </w:rPr>
          <m:t>=39.</m:t>
        </m:r>
      </m:oMath>
    </w:p>
    <w:p w:rsidR="00352847" w:rsidRDefault="00352847" w:rsidP="00352847">
      <w:pPr>
        <w:pStyle w:val="Bntextrga"/>
        <w:tabs>
          <w:tab w:val="left" w:pos="851"/>
        </w:tabs>
        <w:spacing w:line="360" w:lineRule="auto"/>
        <w:jc w:val="both"/>
      </w:pPr>
      <w:r>
        <w:tab/>
        <w:t xml:space="preserve">Známe-li hodnotu relativní permeability, můžeme měření zopakovat s tím rozdílem, že z naměřené zdvihové hmotnosti </w:t>
      </w:r>
      <w:r>
        <w:rPr>
          <w:i/>
        </w:rPr>
        <w:t>m</w:t>
      </w:r>
      <w:r>
        <w:t xml:space="preserve"> určíme podle vztahu (3.1.4) hodnotu magnetické indukce </w:t>
      </w:r>
      <w:proofErr w:type="spellStart"/>
      <w:r w:rsidRPr="00EC3173">
        <w:rPr>
          <w:i/>
        </w:rPr>
        <w:t>B</w:t>
      </w:r>
      <w:r w:rsidRPr="00EC3173">
        <w:rPr>
          <w:vertAlign w:val="subscript"/>
        </w:rPr>
        <w:t>exp</w:t>
      </w:r>
      <w:proofErr w:type="spellEnd"/>
      <w:r>
        <w:t xml:space="preserve">, z naměřené hodnoty proudu </w:t>
      </w:r>
      <w:r>
        <w:rPr>
          <w:i/>
        </w:rPr>
        <w:t>I</w:t>
      </w:r>
      <w:r>
        <w:t xml:space="preserve"> vypočítáme teoretickou hodnotu magnetické indukce podle vztahu (3.1.2) a obě hodnoty porovnáme, viz pátý sloupec tabulky 3.1.2. </w:t>
      </w:r>
    </w:p>
    <w:p w:rsidR="00352847" w:rsidRPr="00461239" w:rsidRDefault="00352847" w:rsidP="00352847">
      <w:pPr>
        <w:pStyle w:val="Bntextrga"/>
        <w:tabs>
          <w:tab w:val="left" w:pos="851"/>
        </w:tabs>
        <w:spacing w:line="360" w:lineRule="auto"/>
        <w:jc w:val="both"/>
      </w:pPr>
      <w:r>
        <w:tab/>
        <w:t>Námi naměřené a vypočítané hodnoty pro cívku se 600 závity jsou uvedeny v následující tabulce 3.1.2.</w:t>
      </w:r>
    </w:p>
    <w:p w:rsidR="00352847" w:rsidRPr="0032541C" w:rsidRDefault="00E75B1F" w:rsidP="00352847">
      <w:pPr>
        <w:spacing w:after="12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b/>
          <w:sz w:val="24"/>
          <w:szCs w:val="24"/>
          <w:lang w:eastAsia="cs-CZ"/>
        </w:rPr>
        <w:br/>
      </w:r>
      <w:bookmarkStart w:id="1" w:name="_GoBack"/>
      <w:bookmarkEnd w:id="1"/>
      <w:r w:rsidR="00352847">
        <w:rPr>
          <w:rFonts w:ascii="Times New Roman" w:eastAsiaTheme="minorEastAsia" w:hAnsi="Times New Roman" w:cs="Times New Roman"/>
          <w:b/>
          <w:sz w:val="24"/>
          <w:szCs w:val="24"/>
          <w:lang w:eastAsia="cs-CZ"/>
        </w:rPr>
        <w:t>Tabulka 3.1.2</w:t>
      </w:r>
      <w:r w:rsidR="00352847" w:rsidRPr="0032541C">
        <w:rPr>
          <w:rFonts w:ascii="Times New Roman" w:eastAsiaTheme="minorEastAsia" w:hAnsi="Times New Roman" w:cs="Times New Roman"/>
          <w:sz w:val="24"/>
          <w:szCs w:val="24"/>
          <w:lang w:eastAsia="cs-CZ"/>
        </w:rPr>
        <w:t xml:space="preserve"> </w:t>
      </w:r>
      <w:r w:rsidR="00352847">
        <w:rPr>
          <w:rFonts w:ascii="Times New Roman" w:eastAsiaTheme="minorEastAsia" w:hAnsi="Times New Roman" w:cs="Times New Roman"/>
          <w:sz w:val="24"/>
          <w:szCs w:val="24"/>
          <w:lang w:eastAsia="cs-CZ"/>
        </w:rPr>
        <w:t>Měření magnetické indukce elektromagnetu</w:t>
      </w:r>
    </w:p>
    <w:tbl>
      <w:tblPr>
        <w:tblStyle w:val="Mkatabulky3"/>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848"/>
        <w:gridCol w:w="2631"/>
        <w:gridCol w:w="2766"/>
      </w:tblGrid>
      <w:tr w:rsidR="00352847" w:rsidRPr="0032541C" w:rsidTr="00371F48">
        <w:trPr>
          <w:jc w:val="center"/>
        </w:trPr>
        <w:tc>
          <w:tcPr>
            <w:tcW w:w="1480" w:type="dxa"/>
            <w:tcBorders>
              <w:top w:val="single" w:sz="4" w:space="0" w:color="auto"/>
              <w:bottom w:val="single" w:sz="4" w:space="0" w:color="auto"/>
            </w:tcBorders>
            <w:tcMar>
              <w:top w:w="28" w:type="dxa"/>
              <w:bottom w:w="28" w:type="dxa"/>
            </w:tcMar>
            <w:vAlign w:val="center"/>
          </w:tcPr>
          <w:p w:rsidR="00352847" w:rsidRPr="0032541C" w:rsidRDefault="00352847" w:rsidP="00371F48">
            <w:pPr>
              <w:spacing w:after="120"/>
              <w:jc w:val="center"/>
            </w:pPr>
            <w:r w:rsidRPr="0032541C">
              <w:rPr>
                <w:i/>
              </w:rPr>
              <w:t>m</w:t>
            </w:r>
            <w:r w:rsidRPr="0032541C">
              <w:t xml:space="preserve"> (kg)</w:t>
            </w:r>
          </w:p>
        </w:tc>
        <w:tc>
          <w:tcPr>
            <w:tcW w:w="1497" w:type="dxa"/>
            <w:tcBorders>
              <w:top w:val="single" w:sz="4" w:space="0" w:color="auto"/>
              <w:bottom w:val="single" w:sz="4" w:space="0" w:color="auto"/>
            </w:tcBorders>
            <w:tcMar>
              <w:top w:w="28" w:type="dxa"/>
              <w:bottom w:w="28" w:type="dxa"/>
            </w:tcMar>
            <w:vAlign w:val="center"/>
          </w:tcPr>
          <w:p w:rsidR="00352847" w:rsidRPr="0032541C" w:rsidRDefault="00352847" w:rsidP="00371F48">
            <w:pPr>
              <w:spacing w:after="120"/>
              <w:jc w:val="center"/>
            </w:pPr>
            <m:oMath>
              <m:r>
                <w:rPr>
                  <w:rFonts w:ascii="Cambria Math" w:hAnsi="Cambria Math"/>
                </w:rPr>
                <m:t>I</m:t>
              </m:r>
            </m:oMath>
            <w:r w:rsidRPr="0032541C">
              <w:t xml:space="preserve"> (</w:t>
            </w:r>
            <w:r>
              <w:t>A</w:t>
            </w:r>
            <w:r w:rsidRPr="0032541C">
              <w:t>)</w:t>
            </w:r>
          </w:p>
        </w:tc>
        <w:tc>
          <w:tcPr>
            <w:tcW w:w="2131" w:type="dxa"/>
            <w:tcBorders>
              <w:top w:val="single" w:sz="4" w:space="0" w:color="auto"/>
              <w:bottom w:val="single" w:sz="4" w:space="0" w:color="auto"/>
            </w:tcBorders>
            <w:tcMar>
              <w:top w:w="28" w:type="dxa"/>
              <w:bottom w:w="28" w:type="dxa"/>
            </w:tcMar>
          </w:tcPr>
          <w:p w:rsidR="00352847" w:rsidRPr="0032541C" w:rsidRDefault="00D81207" w:rsidP="00371F48">
            <w:pPr>
              <w:spacing w:after="120"/>
              <w:jc w:val="center"/>
              <w:rPr>
                <w:rFonts w:eastAsia="Times New Roman"/>
              </w:rPr>
            </w:pPr>
            <m:oMath>
              <m:sSub>
                <m:sSubPr>
                  <m:ctrlPr>
                    <w:rPr>
                      <w:rFonts w:ascii="Cambria Math" w:eastAsia="Times New Roman" w:hAnsi="Cambria Math"/>
                      <w:i/>
                    </w:rPr>
                  </m:ctrlPr>
                </m:sSubPr>
                <m:e>
                  <m:r>
                    <w:rPr>
                      <w:rFonts w:ascii="Cambria Math" w:eastAsia="Times New Roman" w:hAnsi="Cambria Math"/>
                    </w:rPr>
                    <m:t>B</m:t>
                  </m:r>
                </m:e>
                <m:sub>
                  <m:r>
                    <m:rPr>
                      <m:sty m:val="p"/>
                    </m:rPr>
                    <w:rPr>
                      <w:rFonts w:ascii="Cambria Math" w:eastAsia="Times New Roman" w:hAnsi="Cambria Math"/>
                    </w:rPr>
                    <m:t>exp</m:t>
                  </m:r>
                </m:sub>
              </m:sSub>
            </m:oMath>
            <w:r w:rsidR="00352847" w:rsidRPr="0032541C">
              <w:rPr>
                <w:rFonts w:eastAsia="Times New Roman"/>
              </w:rPr>
              <w:t xml:space="preserve"> (</w:t>
            </w:r>
            <m:oMath>
              <m:r>
                <w:rPr>
                  <w:rFonts w:ascii="Cambria Math" w:eastAsia="Times New Roman" w:hAnsi="Cambria Math"/>
                </w:rPr>
                <m:t>mT</m:t>
              </m:r>
            </m:oMath>
            <w:r w:rsidR="00352847" w:rsidRPr="0032541C">
              <w:rPr>
                <w:rFonts w:eastAsia="Times New Roman"/>
              </w:rPr>
              <w:t>)</w:t>
            </w:r>
          </w:p>
        </w:tc>
        <w:tc>
          <w:tcPr>
            <w:tcW w:w="2241" w:type="dxa"/>
            <w:tcBorders>
              <w:top w:val="single" w:sz="4" w:space="0" w:color="auto"/>
              <w:bottom w:val="single" w:sz="4" w:space="0" w:color="auto"/>
            </w:tcBorders>
            <w:tcMar>
              <w:top w:w="28" w:type="dxa"/>
              <w:bottom w:w="28" w:type="dxa"/>
            </w:tcMar>
          </w:tcPr>
          <w:p w:rsidR="00352847" w:rsidRPr="0032541C" w:rsidRDefault="00D81207" w:rsidP="00371F48">
            <w:pPr>
              <w:spacing w:after="120"/>
              <w:jc w:val="center"/>
              <w:rPr>
                <w:rFonts w:eastAsia="Times New Roman"/>
              </w:rPr>
            </w:pPr>
            <m:oMath>
              <m:sSub>
                <m:sSubPr>
                  <m:ctrlPr>
                    <w:rPr>
                      <w:rFonts w:ascii="Cambria Math" w:eastAsia="Times New Roman" w:hAnsi="Cambria Math"/>
                      <w:i/>
                    </w:rPr>
                  </m:ctrlPr>
                </m:sSubPr>
                <m:e>
                  <m:r>
                    <w:rPr>
                      <w:rFonts w:ascii="Cambria Math" w:eastAsia="Times New Roman" w:hAnsi="Cambria Math"/>
                    </w:rPr>
                    <m:t>B</m:t>
                  </m:r>
                </m:e>
                <m:sub>
                  <m:r>
                    <m:rPr>
                      <m:sty m:val="p"/>
                    </m:rPr>
                    <w:rPr>
                      <w:rFonts w:ascii="Cambria Math" w:eastAsia="Times New Roman" w:hAnsi="Cambria Math"/>
                    </w:rPr>
                    <m:t>teor</m:t>
                  </m:r>
                </m:sub>
              </m:sSub>
            </m:oMath>
            <w:r w:rsidR="00352847" w:rsidRPr="0032541C">
              <w:rPr>
                <w:rFonts w:eastAsia="Times New Roman"/>
              </w:rPr>
              <w:t>(</w:t>
            </w:r>
            <m:oMath>
              <m:r>
                <w:rPr>
                  <w:rFonts w:ascii="Cambria Math" w:eastAsia="Times New Roman" w:hAnsi="Cambria Math"/>
                </w:rPr>
                <m:t>mT</m:t>
              </m:r>
            </m:oMath>
            <w:r w:rsidR="00352847" w:rsidRPr="0032541C">
              <w:rPr>
                <w:rFonts w:eastAsia="Times New Roman"/>
              </w:rPr>
              <w:t>)</w:t>
            </w:r>
          </w:p>
        </w:tc>
      </w:tr>
      <w:tr w:rsidR="00352847" w:rsidRPr="0032541C" w:rsidTr="00371F48">
        <w:trPr>
          <w:jc w:val="center"/>
        </w:trPr>
        <w:tc>
          <w:tcPr>
            <w:tcW w:w="1480" w:type="dxa"/>
            <w:tcBorders>
              <w:top w:val="single" w:sz="4" w:space="0" w:color="auto"/>
            </w:tcBorders>
            <w:tcMar>
              <w:top w:w="85" w:type="dxa"/>
              <w:bottom w:w="28" w:type="dxa"/>
            </w:tcMar>
            <w:vAlign w:val="center"/>
          </w:tcPr>
          <w:p w:rsidR="00352847" w:rsidRPr="0032541C" w:rsidRDefault="00352847" w:rsidP="00371F48">
            <w:pPr>
              <w:spacing w:after="120"/>
              <w:jc w:val="center"/>
            </w:pPr>
            <w:r>
              <w:t>0,05</w:t>
            </w:r>
          </w:p>
        </w:tc>
        <w:tc>
          <w:tcPr>
            <w:tcW w:w="1497" w:type="dxa"/>
            <w:tcBorders>
              <w:top w:val="single" w:sz="4" w:space="0" w:color="auto"/>
            </w:tcBorders>
            <w:tcMar>
              <w:top w:w="85" w:type="dxa"/>
              <w:bottom w:w="28" w:type="dxa"/>
            </w:tcMar>
          </w:tcPr>
          <w:p w:rsidR="00352847" w:rsidRPr="0032541C" w:rsidRDefault="00352847" w:rsidP="00371F48">
            <w:pPr>
              <w:jc w:val="center"/>
            </w:pPr>
            <w:r>
              <w:t>0,49</w:t>
            </w:r>
          </w:p>
        </w:tc>
        <w:tc>
          <w:tcPr>
            <w:tcW w:w="2131" w:type="dxa"/>
            <w:tcBorders>
              <w:top w:val="single" w:sz="4" w:space="0" w:color="auto"/>
            </w:tcBorders>
            <w:tcMar>
              <w:top w:w="85" w:type="dxa"/>
              <w:bottom w:w="28" w:type="dxa"/>
            </w:tcMar>
          </w:tcPr>
          <w:p w:rsidR="00352847" w:rsidRPr="0032541C" w:rsidRDefault="00352847" w:rsidP="00371F48">
            <w:pPr>
              <w:jc w:val="center"/>
            </w:pPr>
            <w:r>
              <w:t>330</w:t>
            </w:r>
          </w:p>
        </w:tc>
        <w:tc>
          <w:tcPr>
            <w:tcW w:w="2241" w:type="dxa"/>
            <w:tcBorders>
              <w:top w:val="single" w:sz="4" w:space="0" w:color="auto"/>
            </w:tcBorders>
            <w:tcMar>
              <w:top w:w="85" w:type="dxa"/>
              <w:bottom w:w="28" w:type="dxa"/>
            </w:tcMar>
          </w:tcPr>
          <w:p w:rsidR="00352847" w:rsidRPr="0032541C" w:rsidRDefault="00352847" w:rsidP="00371F48">
            <w:pPr>
              <w:jc w:val="center"/>
            </w:pPr>
            <w:r>
              <w:t>327</w:t>
            </w:r>
          </w:p>
        </w:tc>
      </w:tr>
      <w:tr w:rsidR="00352847" w:rsidRPr="0032541C" w:rsidTr="00371F48">
        <w:trPr>
          <w:jc w:val="center"/>
        </w:trPr>
        <w:tc>
          <w:tcPr>
            <w:tcW w:w="1480" w:type="dxa"/>
            <w:tcMar>
              <w:top w:w="28" w:type="dxa"/>
              <w:bottom w:w="28" w:type="dxa"/>
            </w:tcMar>
            <w:vAlign w:val="center"/>
          </w:tcPr>
          <w:p w:rsidR="00352847" w:rsidRPr="0032541C" w:rsidRDefault="00352847" w:rsidP="00371F48">
            <w:pPr>
              <w:spacing w:after="120"/>
              <w:jc w:val="center"/>
            </w:pPr>
            <w:r>
              <w:t>0,10</w:t>
            </w:r>
          </w:p>
        </w:tc>
        <w:tc>
          <w:tcPr>
            <w:tcW w:w="1497" w:type="dxa"/>
            <w:tcMar>
              <w:top w:w="28" w:type="dxa"/>
              <w:bottom w:w="28" w:type="dxa"/>
            </w:tcMar>
          </w:tcPr>
          <w:p w:rsidR="00352847" w:rsidRPr="0032541C" w:rsidRDefault="00352847" w:rsidP="00371F48">
            <w:pPr>
              <w:jc w:val="center"/>
            </w:pPr>
            <w:r>
              <w:t>0,70</w:t>
            </w:r>
          </w:p>
        </w:tc>
        <w:tc>
          <w:tcPr>
            <w:tcW w:w="2131" w:type="dxa"/>
            <w:tcMar>
              <w:top w:w="28" w:type="dxa"/>
              <w:bottom w:w="28" w:type="dxa"/>
            </w:tcMar>
          </w:tcPr>
          <w:p w:rsidR="00352847" w:rsidRPr="0032541C" w:rsidRDefault="00352847" w:rsidP="00371F48">
            <w:pPr>
              <w:jc w:val="center"/>
            </w:pPr>
            <w:r>
              <w:t>467</w:t>
            </w:r>
          </w:p>
        </w:tc>
        <w:tc>
          <w:tcPr>
            <w:tcW w:w="2241" w:type="dxa"/>
            <w:tcMar>
              <w:top w:w="28" w:type="dxa"/>
              <w:bottom w:w="28" w:type="dxa"/>
            </w:tcMar>
          </w:tcPr>
          <w:p w:rsidR="00352847" w:rsidRPr="0032541C" w:rsidRDefault="00352847" w:rsidP="00371F48">
            <w:pPr>
              <w:jc w:val="center"/>
            </w:pPr>
            <w:r>
              <w:t>468</w:t>
            </w:r>
          </w:p>
        </w:tc>
      </w:tr>
      <w:tr w:rsidR="00352847" w:rsidRPr="0032541C" w:rsidTr="00371F48">
        <w:trPr>
          <w:jc w:val="center"/>
        </w:trPr>
        <w:tc>
          <w:tcPr>
            <w:tcW w:w="1480" w:type="dxa"/>
            <w:tcMar>
              <w:top w:w="28" w:type="dxa"/>
              <w:bottom w:w="28" w:type="dxa"/>
            </w:tcMar>
            <w:vAlign w:val="center"/>
          </w:tcPr>
          <w:p w:rsidR="00352847" w:rsidRPr="0032541C" w:rsidRDefault="00352847" w:rsidP="00371F48">
            <w:pPr>
              <w:spacing w:after="120"/>
              <w:jc w:val="center"/>
            </w:pPr>
            <w:r>
              <w:t>0,15</w:t>
            </w:r>
          </w:p>
        </w:tc>
        <w:tc>
          <w:tcPr>
            <w:tcW w:w="1497" w:type="dxa"/>
            <w:tcMar>
              <w:top w:w="28" w:type="dxa"/>
              <w:bottom w:w="28" w:type="dxa"/>
            </w:tcMar>
          </w:tcPr>
          <w:p w:rsidR="00352847" w:rsidRPr="0032541C" w:rsidRDefault="00352847" w:rsidP="00371F48">
            <w:pPr>
              <w:jc w:val="center"/>
            </w:pPr>
            <w:r>
              <w:t>0,83</w:t>
            </w:r>
          </w:p>
        </w:tc>
        <w:tc>
          <w:tcPr>
            <w:tcW w:w="2131" w:type="dxa"/>
            <w:tcMar>
              <w:top w:w="28" w:type="dxa"/>
              <w:bottom w:w="28" w:type="dxa"/>
            </w:tcMar>
          </w:tcPr>
          <w:p w:rsidR="00352847" w:rsidRPr="0032541C" w:rsidRDefault="00352847" w:rsidP="00371F48">
            <w:pPr>
              <w:jc w:val="center"/>
            </w:pPr>
            <w:r>
              <w:t>572</w:t>
            </w:r>
          </w:p>
        </w:tc>
        <w:tc>
          <w:tcPr>
            <w:tcW w:w="2241" w:type="dxa"/>
            <w:tcMar>
              <w:top w:w="28" w:type="dxa"/>
              <w:bottom w:w="28" w:type="dxa"/>
            </w:tcMar>
          </w:tcPr>
          <w:p w:rsidR="00352847" w:rsidRPr="0032541C" w:rsidRDefault="00352847" w:rsidP="00371F48">
            <w:pPr>
              <w:jc w:val="center"/>
            </w:pPr>
            <w:r>
              <w:t>554</w:t>
            </w:r>
          </w:p>
        </w:tc>
      </w:tr>
      <w:tr w:rsidR="00352847" w:rsidRPr="0032541C" w:rsidTr="00371F48">
        <w:trPr>
          <w:jc w:val="center"/>
        </w:trPr>
        <w:tc>
          <w:tcPr>
            <w:tcW w:w="1480" w:type="dxa"/>
            <w:tcMar>
              <w:top w:w="28" w:type="dxa"/>
              <w:bottom w:w="28" w:type="dxa"/>
            </w:tcMar>
            <w:vAlign w:val="center"/>
          </w:tcPr>
          <w:p w:rsidR="00352847" w:rsidRPr="0032541C" w:rsidRDefault="00352847" w:rsidP="00371F48">
            <w:pPr>
              <w:spacing w:after="120"/>
              <w:jc w:val="center"/>
            </w:pPr>
            <w:r>
              <w:t>0,20</w:t>
            </w:r>
          </w:p>
        </w:tc>
        <w:tc>
          <w:tcPr>
            <w:tcW w:w="1497" w:type="dxa"/>
            <w:tcMar>
              <w:top w:w="28" w:type="dxa"/>
              <w:bottom w:w="28" w:type="dxa"/>
            </w:tcMar>
          </w:tcPr>
          <w:p w:rsidR="00352847" w:rsidRPr="0032541C" w:rsidRDefault="00352847" w:rsidP="00371F48">
            <w:pPr>
              <w:jc w:val="center"/>
            </w:pPr>
            <w:r>
              <w:t>0,96</w:t>
            </w:r>
          </w:p>
        </w:tc>
        <w:tc>
          <w:tcPr>
            <w:tcW w:w="2131" w:type="dxa"/>
            <w:tcMar>
              <w:top w:w="28" w:type="dxa"/>
              <w:bottom w:w="28" w:type="dxa"/>
            </w:tcMar>
          </w:tcPr>
          <w:p w:rsidR="00352847" w:rsidRPr="0032541C" w:rsidRDefault="00352847" w:rsidP="00371F48">
            <w:pPr>
              <w:jc w:val="center"/>
            </w:pPr>
            <w:r>
              <w:t>660</w:t>
            </w:r>
          </w:p>
        </w:tc>
        <w:tc>
          <w:tcPr>
            <w:tcW w:w="2241" w:type="dxa"/>
            <w:tcMar>
              <w:top w:w="28" w:type="dxa"/>
              <w:bottom w:w="28" w:type="dxa"/>
            </w:tcMar>
          </w:tcPr>
          <w:p w:rsidR="00352847" w:rsidRPr="0032541C" w:rsidRDefault="00352847" w:rsidP="00371F48">
            <w:pPr>
              <w:jc w:val="center"/>
            </w:pPr>
            <w:r>
              <w:t>641</w:t>
            </w:r>
          </w:p>
        </w:tc>
      </w:tr>
      <w:tr w:rsidR="00352847" w:rsidRPr="0032541C" w:rsidTr="00371F48">
        <w:trPr>
          <w:jc w:val="center"/>
        </w:trPr>
        <w:tc>
          <w:tcPr>
            <w:tcW w:w="1480" w:type="dxa"/>
            <w:tcMar>
              <w:top w:w="28" w:type="dxa"/>
              <w:bottom w:w="28" w:type="dxa"/>
            </w:tcMar>
            <w:vAlign w:val="center"/>
          </w:tcPr>
          <w:p w:rsidR="00352847" w:rsidRPr="0032541C" w:rsidRDefault="00352847" w:rsidP="00371F48">
            <w:pPr>
              <w:spacing w:after="120"/>
              <w:jc w:val="center"/>
            </w:pPr>
            <w:r>
              <w:t>0,25</w:t>
            </w:r>
          </w:p>
        </w:tc>
        <w:tc>
          <w:tcPr>
            <w:tcW w:w="1497" w:type="dxa"/>
            <w:tcMar>
              <w:top w:w="28" w:type="dxa"/>
              <w:bottom w:w="28" w:type="dxa"/>
            </w:tcMar>
          </w:tcPr>
          <w:p w:rsidR="00352847" w:rsidRPr="0032541C" w:rsidRDefault="00352847" w:rsidP="00371F48">
            <w:pPr>
              <w:jc w:val="center"/>
            </w:pPr>
            <w:r>
              <w:t>1,05</w:t>
            </w:r>
          </w:p>
        </w:tc>
        <w:tc>
          <w:tcPr>
            <w:tcW w:w="2131" w:type="dxa"/>
            <w:tcMar>
              <w:top w:w="28" w:type="dxa"/>
              <w:bottom w:w="28" w:type="dxa"/>
            </w:tcMar>
          </w:tcPr>
          <w:p w:rsidR="00352847" w:rsidRPr="0032541C" w:rsidRDefault="00352847" w:rsidP="00371F48">
            <w:pPr>
              <w:jc w:val="center"/>
            </w:pPr>
            <w:r>
              <w:t>738</w:t>
            </w:r>
          </w:p>
        </w:tc>
        <w:tc>
          <w:tcPr>
            <w:tcW w:w="2241" w:type="dxa"/>
            <w:tcMar>
              <w:top w:w="28" w:type="dxa"/>
              <w:bottom w:w="28" w:type="dxa"/>
            </w:tcMar>
          </w:tcPr>
          <w:p w:rsidR="00352847" w:rsidRPr="0032541C" w:rsidRDefault="00352847" w:rsidP="00371F48">
            <w:pPr>
              <w:jc w:val="center"/>
            </w:pPr>
            <w:r>
              <w:t>736</w:t>
            </w:r>
          </w:p>
        </w:tc>
      </w:tr>
      <w:tr w:rsidR="00352847" w:rsidRPr="0032541C" w:rsidTr="00371F48">
        <w:trPr>
          <w:jc w:val="center"/>
        </w:trPr>
        <w:tc>
          <w:tcPr>
            <w:tcW w:w="1480" w:type="dxa"/>
            <w:tcMar>
              <w:top w:w="28" w:type="dxa"/>
              <w:bottom w:w="28" w:type="dxa"/>
            </w:tcMar>
            <w:vAlign w:val="center"/>
          </w:tcPr>
          <w:p w:rsidR="00352847" w:rsidRPr="0032541C" w:rsidRDefault="00352847" w:rsidP="00371F48">
            <w:pPr>
              <w:spacing w:after="120"/>
              <w:jc w:val="center"/>
            </w:pPr>
            <w:r>
              <w:t>0,30</w:t>
            </w:r>
          </w:p>
        </w:tc>
        <w:tc>
          <w:tcPr>
            <w:tcW w:w="1497" w:type="dxa"/>
            <w:tcMar>
              <w:top w:w="28" w:type="dxa"/>
              <w:bottom w:w="28" w:type="dxa"/>
            </w:tcMar>
          </w:tcPr>
          <w:p w:rsidR="00352847" w:rsidRPr="0032541C" w:rsidRDefault="00352847" w:rsidP="00371F48">
            <w:pPr>
              <w:jc w:val="center"/>
            </w:pPr>
            <w:r>
              <w:t>1,17</w:t>
            </w:r>
          </w:p>
        </w:tc>
        <w:tc>
          <w:tcPr>
            <w:tcW w:w="2131" w:type="dxa"/>
            <w:tcMar>
              <w:top w:w="28" w:type="dxa"/>
              <w:bottom w:w="28" w:type="dxa"/>
            </w:tcMar>
          </w:tcPr>
          <w:p w:rsidR="00352847" w:rsidRPr="0032541C" w:rsidRDefault="00352847" w:rsidP="00371F48">
            <w:pPr>
              <w:jc w:val="center"/>
            </w:pPr>
            <w:r>
              <w:t>809</w:t>
            </w:r>
          </w:p>
        </w:tc>
        <w:tc>
          <w:tcPr>
            <w:tcW w:w="2241" w:type="dxa"/>
            <w:tcMar>
              <w:top w:w="28" w:type="dxa"/>
              <w:bottom w:w="28" w:type="dxa"/>
            </w:tcMar>
          </w:tcPr>
          <w:p w:rsidR="00352847" w:rsidRPr="0032541C" w:rsidRDefault="00352847" w:rsidP="00371F48">
            <w:pPr>
              <w:jc w:val="center"/>
            </w:pPr>
            <w:r>
              <w:t>782</w:t>
            </w:r>
          </w:p>
        </w:tc>
      </w:tr>
      <w:tr w:rsidR="00352847" w:rsidRPr="0032541C" w:rsidTr="00371F48">
        <w:trPr>
          <w:jc w:val="center"/>
        </w:trPr>
        <w:tc>
          <w:tcPr>
            <w:tcW w:w="1480" w:type="dxa"/>
            <w:tcMar>
              <w:top w:w="28" w:type="dxa"/>
              <w:bottom w:w="28" w:type="dxa"/>
            </w:tcMar>
            <w:vAlign w:val="center"/>
          </w:tcPr>
          <w:p w:rsidR="00352847" w:rsidRPr="0032541C" w:rsidRDefault="00352847" w:rsidP="00371F48">
            <w:pPr>
              <w:spacing w:after="120"/>
              <w:jc w:val="center"/>
            </w:pPr>
            <w:r>
              <w:t>0,35</w:t>
            </w:r>
          </w:p>
        </w:tc>
        <w:tc>
          <w:tcPr>
            <w:tcW w:w="1497" w:type="dxa"/>
            <w:tcMar>
              <w:top w:w="28" w:type="dxa"/>
              <w:bottom w:w="28" w:type="dxa"/>
            </w:tcMar>
          </w:tcPr>
          <w:p w:rsidR="00352847" w:rsidRPr="0032541C" w:rsidRDefault="00352847" w:rsidP="00371F48">
            <w:pPr>
              <w:jc w:val="center"/>
            </w:pPr>
            <w:r>
              <w:t>1,29</w:t>
            </w:r>
          </w:p>
        </w:tc>
        <w:tc>
          <w:tcPr>
            <w:tcW w:w="2131" w:type="dxa"/>
            <w:tcMar>
              <w:top w:w="28" w:type="dxa"/>
              <w:bottom w:w="28" w:type="dxa"/>
            </w:tcMar>
          </w:tcPr>
          <w:p w:rsidR="00352847" w:rsidRPr="0032541C" w:rsidRDefault="00352847" w:rsidP="00371F48">
            <w:pPr>
              <w:jc w:val="center"/>
            </w:pPr>
            <w:r>
              <w:t>873</w:t>
            </w:r>
          </w:p>
        </w:tc>
        <w:tc>
          <w:tcPr>
            <w:tcW w:w="2241" w:type="dxa"/>
            <w:tcMar>
              <w:top w:w="28" w:type="dxa"/>
              <w:bottom w:w="28" w:type="dxa"/>
            </w:tcMar>
          </w:tcPr>
          <w:p w:rsidR="00352847" w:rsidRPr="0032541C" w:rsidRDefault="00352847" w:rsidP="00371F48">
            <w:pPr>
              <w:jc w:val="center"/>
            </w:pPr>
            <w:r>
              <w:t>862</w:t>
            </w:r>
          </w:p>
        </w:tc>
      </w:tr>
      <w:tr w:rsidR="00352847" w:rsidRPr="0032541C" w:rsidTr="00371F48">
        <w:trPr>
          <w:jc w:val="center"/>
        </w:trPr>
        <w:tc>
          <w:tcPr>
            <w:tcW w:w="1480" w:type="dxa"/>
            <w:tcBorders>
              <w:bottom w:val="single" w:sz="4" w:space="0" w:color="auto"/>
            </w:tcBorders>
            <w:tcMar>
              <w:top w:w="28" w:type="dxa"/>
              <w:bottom w:w="28" w:type="dxa"/>
            </w:tcMar>
            <w:vAlign w:val="center"/>
          </w:tcPr>
          <w:p w:rsidR="00352847" w:rsidRDefault="00352847" w:rsidP="00371F48">
            <w:pPr>
              <w:spacing w:after="120"/>
              <w:jc w:val="center"/>
            </w:pPr>
            <w:r>
              <w:t>0,40</w:t>
            </w:r>
          </w:p>
        </w:tc>
        <w:tc>
          <w:tcPr>
            <w:tcW w:w="1497" w:type="dxa"/>
            <w:tcBorders>
              <w:bottom w:val="single" w:sz="4" w:space="0" w:color="auto"/>
            </w:tcBorders>
            <w:tcMar>
              <w:top w:w="28" w:type="dxa"/>
              <w:bottom w:w="28" w:type="dxa"/>
            </w:tcMar>
          </w:tcPr>
          <w:p w:rsidR="00352847" w:rsidRDefault="00352847" w:rsidP="00371F48">
            <w:pPr>
              <w:jc w:val="center"/>
            </w:pPr>
            <w:r>
              <w:t>1,41</w:t>
            </w:r>
          </w:p>
        </w:tc>
        <w:tc>
          <w:tcPr>
            <w:tcW w:w="2131" w:type="dxa"/>
            <w:tcBorders>
              <w:bottom w:val="single" w:sz="4" w:space="0" w:color="auto"/>
            </w:tcBorders>
            <w:tcMar>
              <w:top w:w="28" w:type="dxa"/>
              <w:bottom w:w="28" w:type="dxa"/>
            </w:tcMar>
          </w:tcPr>
          <w:p w:rsidR="00352847" w:rsidRDefault="00352847" w:rsidP="00371F48">
            <w:pPr>
              <w:jc w:val="center"/>
            </w:pPr>
            <w:r>
              <w:t>934</w:t>
            </w:r>
          </w:p>
        </w:tc>
        <w:tc>
          <w:tcPr>
            <w:tcW w:w="2241" w:type="dxa"/>
            <w:tcBorders>
              <w:bottom w:val="single" w:sz="4" w:space="0" w:color="auto"/>
            </w:tcBorders>
            <w:tcMar>
              <w:top w:w="28" w:type="dxa"/>
              <w:bottom w:w="28" w:type="dxa"/>
            </w:tcMar>
          </w:tcPr>
          <w:p w:rsidR="00352847" w:rsidRDefault="00352847" w:rsidP="00371F48">
            <w:pPr>
              <w:jc w:val="center"/>
            </w:pPr>
            <w:r>
              <w:t>942</w:t>
            </w:r>
          </w:p>
        </w:tc>
      </w:tr>
    </w:tbl>
    <w:p w:rsidR="00352847" w:rsidRDefault="00352847" w:rsidP="00352847">
      <w:pPr>
        <w:pStyle w:val="Bntextrga"/>
        <w:tabs>
          <w:tab w:val="left" w:pos="851"/>
        </w:tabs>
      </w:pPr>
    </w:p>
    <w:p w:rsidR="00352847" w:rsidRDefault="00352847" w:rsidP="00352847">
      <w:pPr>
        <w:pStyle w:val="Bntextrga"/>
        <w:tabs>
          <w:tab w:val="left" w:pos="851"/>
        </w:tabs>
        <w:spacing w:line="360" w:lineRule="auto"/>
        <w:jc w:val="both"/>
        <w:rPr>
          <w:rFonts w:eastAsiaTheme="minorEastAsia"/>
          <w:szCs w:val="24"/>
        </w:rPr>
      </w:pPr>
      <w:r>
        <w:tab/>
        <w:t xml:space="preserve">Na závěr vytvoříme grafické závislosti obou zjištěných magnetických indukcí na proudu </w:t>
      </w:r>
      <w:r>
        <w:rPr>
          <w:i/>
        </w:rPr>
        <w:t>I</w:t>
      </w:r>
      <w:r>
        <w:t xml:space="preserve">, </w:t>
      </w:r>
      <w:r>
        <w:rPr>
          <w:rFonts w:eastAsiaTheme="minorEastAsia"/>
          <w:szCs w:val="24"/>
        </w:rPr>
        <w:t>které</w:t>
      </w:r>
      <w:r w:rsidRPr="00E377E6">
        <w:rPr>
          <w:rFonts w:eastAsiaTheme="minorEastAsia"/>
          <w:szCs w:val="24"/>
        </w:rPr>
        <w:t xml:space="preserve"> doplníme o chybové úsečky se standardní chybou a regresní analýzu (Přidat spojnici trendu). </w:t>
      </w:r>
      <w:r>
        <w:rPr>
          <w:rFonts w:eastAsiaTheme="minorEastAsia"/>
          <w:szCs w:val="24"/>
        </w:rPr>
        <w:t>G</w:t>
      </w:r>
      <w:r w:rsidRPr="00E377E6">
        <w:rPr>
          <w:rFonts w:eastAsiaTheme="minorEastAsia"/>
          <w:szCs w:val="24"/>
        </w:rPr>
        <w:t>raf vy</w:t>
      </w:r>
      <w:r>
        <w:rPr>
          <w:rFonts w:eastAsiaTheme="minorEastAsia"/>
          <w:szCs w:val="24"/>
        </w:rPr>
        <w:t>tvořený na základě tabulky 3.1.2 je na obrázku 3.1.2</w:t>
      </w:r>
      <w:r w:rsidRPr="00E377E6">
        <w:rPr>
          <w:rFonts w:eastAsiaTheme="minorEastAsia"/>
          <w:szCs w:val="24"/>
        </w:rPr>
        <w:t>.</w:t>
      </w:r>
    </w:p>
    <w:p w:rsidR="00352847" w:rsidRDefault="00352847" w:rsidP="00352847">
      <w:pPr>
        <w:pStyle w:val="Bntextrga"/>
        <w:spacing w:line="360" w:lineRule="auto"/>
        <w:ind w:firstLine="708"/>
      </w:pPr>
      <w:r w:rsidRPr="005975AB">
        <w:t xml:space="preserve">Absolutní </w:t>
      </w:r>
      <w:r w:rsidR="00053CB3">
        <w:t>nejistotu</w:t>
      </w:r>
      <w:r w:rsidRPr="005975AB">
        <w:t xml:space="preserve"> v určení </w:t>
      </w:r>
      <w:r>
        <w:t>magnetické indukce</w:t>
      </w:r>
      <w:r w:rsidRPr="005975AB">
        <w:t xml:space="preserve"> </w:t>
      </w:r>
      <m:oMath>
        <m:sSub>
          <m:sSubPr>
            <m:ctrlPr>
              <w:rPr>
                <w:rFonts w:ascii="Cambria Math" w:hAnsi="Cambria Math"/>
                <w:i/>
              </w:rPr>
            </m:ctrlPr>
          </m:sSubPr>
          <m:e>
            <m:r>
              <w:rPr>
                <w:rFonts w:ascii="Cambria Math" w:hAnsi="Cambria Math"/>
              </w:rPr>
              <m:t>B</m:t>
            </m:r>
          </m:e>
          <m:sub>
            <m:r>
              <m:rPr>
                <m:sty m:val="p"/>
              </m:rPr>
              <w:rPr>
                <w:rFonts w:ascii="Cambria Math" w:hAnsi="Cambria Math"/>
              </w:rPr>
              <m:t>exp</m:t>
            </m:r>
          </m:sub>
        </m:sSub>
      </m:oMath>
      <w:r>
        <w:rPr>
          <w:rFonts w:eastAsiaTheme="minorEastAsia"/>
        </w:rPr>
        <w:t xml:space="preserve"> podle vztahu (3.1.4) </w:t>
      </w:r>
      <w:r w:rsidRPr="005975AB">
        <w:t xml:space="preserve">můžeme pro každý řádek tabulky </w:t>
      </w:r>
      <w:r>
        <w:t>určit z následujícího vztahu (3.1.5</w:t>
      </w:r>
      <w:r w:rsidRPr="005975AB">
        <w:t>)</w:t>
      </w:r>
      <w:r>
        <w:t>:</w:t>
      </w:r>
    </w:p>
    <w:p w:rsidR="00352847" w:rsidRPr="00F3244A" w:rsidRDefault="00352847" w:rsidP="00352847">
      <w:pPr>
        <w:pStyle w:val="Bntextrga"/>
        <w:spacing w:line="360" w:lineRule="auto"/>
      </w:pPr>
      <m:oMathPara>
        <m:oMathParaPr>
          <m:jc m:val="right"/>
        </m:oMathParaPr>
        <m:oMath>
          <m:r>
            <w:rPr>
              <w:rFonts w:ascii="Cambria Math" w:hAnsi="Cambria Math"/>
            </w:rPr>
            <m:t>∆</m:t>
          </m:r>
          <m:sSub>
            <m:sSubPr>
              <m:ctrlPr>
                <w:rPr>
                  <w:rFonts w:ascii="Cambria Math" w:hAnsi="Cambria Math"/>
                  <w:i/>
                </w:rPr>
              </m:ctrlPr>
            </m:sSubPr>
            <m:e>
              <m:r>
                <w:rPr>
                  <w:rFonts w:ascii="Cambria Math" w:hAnsi="Cambria Math"/>
                </w:rPr>
                <m:t>B</m:t>
              </m:r>
            </m:e>
            <m:sub>
              <m:r>
                <m:rPr>
                  <m:sty m:val="p"/>
                </m:rPr>
                <w:rPr>
                  <w:rFonts w:ascii="Cambria Math" w:hAnsi="Cambria Math"/>
                </w:rPr>
                <m:t>exp</m:t>
              </m:r>
            </m:sub>
          </m:sSub>
          <m:r>
            <w:rPr>
              <w:rFonts w:ascii="Cambria Math" w:hAnsi="Cambria Math"/>
            </w:rPr>
            <m:t>=</m:t>
          </m:r>
          <m:sSub>
            <m:sSubPr>
              <m:ctrlPr>
                <w:rPr>
                  <w:rFonts w:ascii="Cambria Math" w:hAnsi="Cambria Math"/>
                  <w:i/>
                </w:rPr>
              </m:ctrlPr>
            </m:sSubPr>
            <m:e>
              <m:r>
                <w:rPr>
                  <w:rFonts w:ascii="Cambria Math" w:hAnsi="Cambria Math"/>
                </w:rPr>
                <m:t>B</m:t>
              </m:r>
            </m:e>
            <m:sub>
              <m:r>
                <m:rPr>
                  <m:sty m:val="p"/>
                </m:rPr>
                <w:rPr>
                  <w:rFonts w:ascii="Cambria Math" w:hAnsi="Cambria Math"/>
                </w:rPr>
                <m:t>exp</m:t>
              </m:r>
            </m:sub>
          </m:sSub>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2F</m:t>
                  </m:r>
                </m:den>
              </m:f>
            </m:e>
          </m:d>
          <m:r>
            <w:rPr>
              <w:rFonts w:ascii="Cambria Math" w:hAnsi="Cambria Math"/>
            </w:rPr>
            <m:t>=</m:t>
          </m:r>
          <m:sSub>
            <m:sSubPr>
              <m:ctrlPr>
                <w:rPr>
                  <w:rFonts w:ascii="Cambria Math" w:hAnsi="Cambria Math"/>
                  <w:i/>
                </w:rPr>
              </m:ctrlPr>
            </m:sSubPr>
            <m:e>
              <m:r>
                <w:rPr>
                  <w:rFonts w:ascii="Cambria Math" w:hAnsi="Cambria Math"/>
                </w:rPr>
                <m:t>B</m:t>
              </m:r>
            </m:e>
            <m:sub>
              <m:r>
                <m:rPr>
                  <m:sty m:val="p"/>
                </m:rPr>
                <w:rPr>
                  <w:rFonts w:ascii="Cambria Math" w:hAnsi="Cambria Math"/>
                </w:rPr>
                <m:t>exp</m:t>
              </m:r>
            </m:sub>
          </m:sSub>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2m</m:t>
                  </m:r>
                </m:den>
              </m:f>
            </m:e>
          </m:d>
          <m:r>
            <w:rPr>
              <w:rFonts w:ascii="Cambria Math" w:hAnsi="Cambria Math"/>
            </w:rPr>
            <m:t xml:space="preserve">                                    (3.1.5)</m:t>
          </m:r>
        </m:oMath>
      </m:oMathPara>
    </w:p>
    <w:p w:rsidR="00352847" w:rsidRPr="005975AB" w:rsidRDefault="00352847" w:rsidP="00352847">
      <w:pPr>
        <w:pStyle w:val="Bntextrga"/>
        <w:spacing w:line="360" w:lineRule="auto"/>
      </w:pPr>
      <w:r>
        <w:t xml:space="preserve">Pro magnetickou indukci </w:t>
      </w:r>
      <m:oMath>
        <m:sSub>
          <m:sSubPr>
            <m:ctrlPr>
              <w:rPr>
                <w:rFonts w:ascii="Cambria Math" w:hAnsi="Cambria Math"/>
                <w:i/>
              </w:rPr>
            </m:ctrlPr>
          </m:sSubPr>
          <m:e>
            <m:r>
              <w:rPr>
                <w:rFonts w:ascii="Cambria Math" w:hAnsi="Cambria Math"/>
              </w:rPr>
              <m:t>B</m:t>
            </m:r>
          </m:e>
          <m:sub>
            <m:r>
              <m:rPr>
                <m:sty m:val="p"/>
              </m:rPr>
              <w:rPr>
                <w:rFonts w:ascii="Cambria Math" w:hAnsi="Cambria Math"/>
              </w:rPr>
              <m:t>teor</m:t>
            </m:r>
          </m:sub>
        </m:sSub>
      </m:oMath>
      <w:r>
        <w:rPr>
          <w:rFonts w:eastAsiaTheme="minorEastAsia"/>
        </w:rPr>
        <w:t xml:space="preserve"> platí analogicky ze vztahu (3.1.2) vztah (3.1.6):</w:t>
      </w:r>
      <w:r w:rsidRPr="005975AB">
        <w:t xml:space="preserve">                              </w:t>
      </w:r>
      <w:r>
        <w:t xml:space="preserve">                               </w:t>
      </w:r>
    </w:p>
    <w:p w:rsidR="00352847" w:rsidRPr="00A0135F" w:rsidRDefault="00352847" w:rsidP="00352847">
      <w:pPr>
        <w:pStyle w:val="Bntextrga"/>
        <w:spacing w:line="360" w:lineRule="auto"/>
      </w:pPr>
      <m:oMathPara>
        <m:oMathParaPr>
          <m:jc m:val="right"/>
        </m:oMathParaPr>
        <m:oMath>
          <m:r>
            <w:rPr>
              <w:rFonts w:ascii="Cambria Math" w:hAnsi="Cambria Math"/>
            </w:rPr>
            <m:t>∆</m:t>
          </m:r>
          <m:sSub>
            <m:sSubPr>
              <m:ctrlPr>
                <w:rPr>
                  <w:rFonts w:ascii="Cambria Math" w:hAnsi="Cambria Math"/>
                  <w:i/>
                </w:rPr>
              </m:ctrlPr>
            </m:sSubPr>
            <m:e>
              <m:r>
                <w:rPr>
                  <w:rFonts w:ascii="Cambria Math" w:hAnsi="Cambria Math"/>
                </w:rPr>
                <m:t>B</m:t>
              </m:r>
            </m:e>
            <m:sub>
              <m:r>
                <m:rPr>
                  <m:sty m:val="p"/>
                </m:rPr>
                <w:rPr>
                  <w:rFonts w:ascii="Cambria Math" w:hAnsi="Cambria Math"/>
                </w:rPr>
                <m:t>teor</m:t>
              </m:r>
            </m:sub>
          </m:sSub>
          <m:r>
            <w:rPr>
              <w:rFonts w:ascii="Cambria Math" w:hAnsi="Cambria Math"/>
            </w:rPr>
            <m:t>=</m:t>
          </m:r>
          <m:sSub>
            <m:sSubPr>
              <m:ctrlPr>
                <w:rPr>
                  <w:rFonts w:ascii="Cambria Math" w:hAnsi="Cambria Math"/>
                  <w:i/>
                </w:rPr>
              </m:ctrlPr>
            </m:sSubPr>
            <m:e>
              <m:r>
                <w:rPr>
                  <w:rFonts w:ascii="Cambria Math" w:hAnsi="Cambria Math"/>
                </w:rPr>
                <m:t>B</m:t>
              </m:r>
            </m:e>
            <m:sub>
              <m:r>
                <m:rPr>
                  <m:sty m:val="p"/>
                </m:rPr>
                <w:rPr>
                  <w:rFonts w:ascii="Cambria Math" w:hAnsi="Cambria Math"/>
                </w:rPr>
                <m:t>teor</m:t>
              </m:r>
            </m:sub>
          </m:sSub>
          <m:d>
            <m:dPr>
              <m:ctrlPr>
                <w:rPr>
                  <w:rFonts w:ascii="Cambria Math" w:hAnsi="Cambria Math"/>
                  <w:i/>
                </w:rPr>
              </m:ctrlPr>
            </m:dPr>
            <m:e>
              <m:f>
                <m:fPr>
                  <m:ctrlPr>
                    <w:rPr>
                      <w:rFonts w:ascii="Cambria Math" w:hAnsi="Cambria Math"/>
                      <w:i/>
                    </w:rPr>
                  </m:ctrlPr>
                </m:fPr>
                <m:num>
                  <m:r>
                    <w:rPr>
                      <w:rFonts w:ascii="Cambria Math" w:hAnsi="Cambria Math"/>
                    </w:rPr>
                    <m:t>∆I</m:t>
                  </m:r>
                </m:num>
                <m:den>
                  <m:r>
                    <w:rPr>
                      <w:rFonts w:ascii="Cambria Math" w:hAnsi="Cambria Math"/>
                    </w:rPr>
                    <m:t>I</m:t>
                  </m:r>
                </m:den>
              </m:f>
            </m:e>
          </m:d>
          <m:r>
            <w:rPr>
              <w:rFonts w:ascii="Cambria Math" w:hAnsi="Cambria Math"/>
            </w:rPr>
            <m:t xml:space="preserve">                                                   (3.1.6)</m:t>
          </m:r>
        </m:oMath>
      </m:oMathPara>
    </w:p>
    <w:p w:rsidR="00352847" w:rsidRDefault="00352847" w:rsidP="00352847">
      <w:pPr>
        <w:pStyle w:val="Bntextrga"/>
        <w:tabs>
          <w:tab w:val="left" w:pos="851"/>
        </w:tabs>
      </w:pPr>
      <w:r>
        <w:rPr>
          <w:noProof/>
          <w:lang w:eastAsia="cs-CZ"/>
        </w:rPr>
        <w:lastRenderedPageBreak/>
        <w:drawing>
          <wp:inline distT="0" distB="0" distL="0" distR="0" wp14:anchorId="7EB86ACE" wp14:editId="03E64BEA">
            <wp:extent cx="5760000" cy="3240000"/>
            <wp:effectExtent l="0" t="0" r="12700" b="1778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52847" w:rsidRDefault="00352847" w:rsidP="00352847">
      <w:pPr>
        <w:pStyle w:val="Bntextrga"/>
        <w:tabs>
          <w:tab w:val="left" w:pos="851"/>
        </w:tabs>
        <w:jc w:val="center"/>
        <w:rPr>
          <w:sz w:val="20"/>
          <w:szCs w:val="20"/>
        </w:rPr>
      </w:pPr>
      <w:r>
        <w:rPr>
          <w:sz w:val="20"/>
          <w:szCs w:val="20"/>
        </w:rPr>
        <w:t xml:space="preserve">Obrázek 3.1.2 Graf závislosti magnetické indukce na proudu – </w:t>
      </w:r>
      <w:r w:rsidRPr="00A8162F">
        <w:rPr>
          <w:sz w:val="20"/>
          <w:szCs w:val="20"/>
        </w:rPr>
        <w:t xml:space="preserve">Měření </w:t>
      </w:r>
      <w:r>
        <w:rPr>
          <w:sz w:val="20"/>
          <w:szCs w:val="20"/>
        </w:rPr>
        <w:t>magnetické indukce elektromagnetu</w:t>
      </w:r>
    </w:p>
    <w:p w:rsidR="00352847" w:rsidRDefault="00352847" w:rsidP="00352847">
      <w:pPr>
        <w:pStyle w:val="Bntextrga"/>
        <w:tabs>
          <w:tab w:val="left" w:pos="851"/>
        </w:tabs>
        <w:rPr>
          <w:szCs w:val="24"/>
        </w:rPr>
      </w:pPr>
    </w:p>
    <w:p w:rsidR="00352847" w:rsidRPr="008A71BB" w:rsidRDefault="00352847" w:rsidP="00352847">
      <w:pPr>
        <w:pStyle w:val="Bntextrga"/>
        <w:spacing w:line="360" w:lineRule="auto"/>
        <w:jc w:val="both"/>
        <w:rPr>
          <w:b/>
        </w:rPr>
      </w:pPr>
      <w:r w:rsidRPr="008A71BB">
        <w:rPr>
          <w:b/>
        </w:rPr>
        <w:t>Závěr</w:t>
      </w:r>
    </w:p>
    <w:p w:rsidR="00352847" w:rsidRDefault="00352847" w:rsidP="00352847">
      <w:pPr>
        <w:pStyle w:val="Bntextrga"/>
        <w:spacing w:line="360" w:lineRule="auto"/>
        <w:jc w:val="both"/>
      </w:pPr>
      <w:r w:rsidRPr="00493A51">
        <w:t>Z výsledků naměřených hodnot</w:t>
      </w:r>
      <w:r>
        <w:t xml:space="preserve"> v tabulce 3.1.2</w:t>
      </w:r>
      <w:r w:rsidRPr="00493A51">
        <w:t xml:space="preserve"> je patrné, že experimentálně určená </w:t>
      </w:r>
      <w:r>
        <w:t>hodnota magnetické indukce</w:t>
      </w:r>
      <w:r w:rsidRPr="00493A51">
        <w:t xml:space="preserve"> </w:t>
      </w:r>
      <m:oMath>
        <m:sSub>
          <m:sSubPr>
            <m:ctrlPr>
              <w:rPr>
                <w:rFonts w:ascii="Cambria Math" w:hAnsi="Cambria Math"/>
                <w:i/>
              </w:rPr>
            </m:ctrlPr>
          </m:sSubPr>
          <m:e>
            <m:r>
              <w:rPr>
                <w:rFonts w:ascii="Cambria Math" w:hAnsi="Cambria Math"/>
              </w:rPr>
              <m:t>B</m:t>
            </m:r>
          </m:e>
          <m:sub>
            <m:r>
              <m:rPr>
                <m:sty m:val="p"/>
              </m:rPr>
              <w:rPr>
                <w:rFonts w:ascii="Cambria Math" w:hAnsi="Cambria Math"/>
              </w:rPr>
              <m:t>exp</m:t>
            </m:r>
          </m:sub>
        </m:sSub>
      </m:oMath>
      <w:r>
        <w:t xml:space="preserve"> se</w:t>
      </w:r>
      <w:r w:rsidRPr="00493A51">
        <w:t xml:space="preserve"> </w:t>
      </w:r>
      <w:r>
        <w:t>od teoreticky vypočítané hodnoty</w:t>
      </w:r>
      <w:r w:rsidRPr="00493A51">
        <w:t xml:space="preserve"> </w:t>
      </w:r>
      <m:oMath>
        <m:sSub>
          <m:sSubPr>
            <m:ctrlPr>
              <w:rPr>
                <w:rFonts w:ascii="Cambria Math" w:hAnsi="Cambria Math"/>
                <w:i/>
              </w:rPr>
            </m:ctrlPr>
          </m:sSubPr>
          <m:e>
            <m:r>
              <w:rPr>
                <w:rFonts w:ascii="Cambria Math" w:hAnsi="Cambria Math"/>
              </w:rPr>
              <m:t>B</m:t>
            </m:r>
          </m:e>
          <m:sub>
            <m:r>
              <m:rPr>
                <m:sty m:val="p"/>
              </m:rPr>
              <w:rPr>
                <w:rFonts w:ascii="Cambria Math" w:hAnsi="Cambria Math"/>
              </w:rPr>
              <m:t>teor</m:t>
            </m:r>
          </m:sub>
        </m:sSub>
      </m:oMath>
      <w:r w:rsidRPr="00493A51">
        <w:t xml:space="preserve"> </w:t>
      </w:r>
      <w:r>
        <w:t>liší v průměru o 2 %</w:t>
      </w:r>
      <w:r w:rsidRPr="00493A51">
        <w:t xml:space="preserve">. Průměrná hodnota </w:t>
      </w:r>
      <w:r>
        <w:t>relativní permeability jádra elektromagnetu je</w:t>
      </w:r>
      <w:r w:rsidRPr="00493A51">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m:t>
        </m:r>
        <m:d>
          <m:dPr>
            <m:ctrlPr>
              <w:rPr>
                <w:rFonts w:ascii="Cambria Math" w:hAnsi="Cambria Math"/>
                <w:i/>
              </w:rPr>
            </m:ctrlPr>
          </m:dPr>
          <m:e>
            <m:r>
              <w:rPr>
                <w:rFonts w:ascii="Cambria Math" w:hAnsi="Cambria Math"/>
              </w:rPr>
              <m:t>39±1</m:t>
            </m:r>
          </m:e>
        </m:d>
      </m:oMath>
      <w:r>
        <w:t>.</w:t>
      </w:r>
      <w:r w:rsidRPr="00493A51">
        <w:t xml:space="preserve"> </w:t>
      </w:r>
    </w:p>
    <w:p w:rsidR="00352847" w:rsidRPr="00493A51" w:rsidRDefault="00352847" w:rsidP="00352847">
      <w:pPr>
        <w:pStyle w:val="Bntextrga"/>
        <w:spacing w:line="360" w:lineRule="auto"/>
        <w:ind w:firstLine="708"/>
        <w:jc w:val="both"/>
      </w:pPr>
      <w:r>
        <w:t>V grafu na obrázku 3.1.2 je také dobře pozorovatelná lineární závislost velikosti magnetické indukce cívky na proudu, který jí prochází, jak plyne z teoretického vztahu (3.1.2).</w:t>
      </w:r>
    </w:p>
    <w:p w:rsidR="00352847" w:rsidRDefault="00352847" w:rsidP="00352847">
      <w:pPr>
        <w:pStyle w:val="Bntextrga"/>
        <w:spacing w:line="360" w:lineRule="auto"/>
        <w:jc w:val="both"/>
      </w:pPr>
    </w:p>
    <w:p w:rsidR="00352847" w:rsidRDefault="00352847" w:rsidP="00352847">
      <w:pPr>
        <w:pStyle w:val="Bntextrga"/>
        <w:spacing w:line="360" w:lineRule="auto"/>
        <w:rPr>
          <w:rFonts w:eastAsiaTheme="minorEastAsia"/>
          <w:szCs w:val="24"/>
        </w:rPr>
      </w:pPr>
      <w:r w:rsidRPr="0055352D">
        <w:rPr>
          <w:rFonts w:eastAsiaTheme="minorEastAsia"/>
          <w:b/>
          <w:szCs w:val="24"/>
        </w:rPr>
        <w:t>Otázky na závěr</w:t>
      </w:r>
    </w:p>
    <w:p w:rsidR="00352847" w:rsidRDefault="00352847" w:rsidP="00352847">
      <w:pPr>
        <w:pStyle w:val="Bntextrga"/>
        <w:spacing w:line="360" w:lineRule="auto"/>
        <w:jc w:val="both"/>
        <w:rPr>
          <w:rFonts w:eastAsiaTheme="minorEastAsia"/>
          <w:szCs w:val="24"/>
        </w:rPr>
      </w:pPr>
      <w:r>
        <w:rPr>
          <w:rFonts w:eastAsiaTheme="minorEastAsia"/>
          <w:szCs w:val="24"/>
        </w:rPr>
        <w:t>1. Jakým způsobem můžeme z předpisu lineární regresní funkce vypočítat hodnotu permeability vakua? Proveďte tento výpočet.</w:t>
      </w:r>
    </w:p>
    <w:p w:rsidR="00DC7340" w:rsidRPr="00352847" w:rsidRDefault="00352847" w:rsidP="00352847">
      <w:pPr>
        <w:spacing w:line="360" w:lineRule="auto"/>
        <w:jc w:val="both"/>
        <w:rPr>
          <w:rFonts w:ascii="Times New Roman" w:hAnsi="Times New Roman" w:cs="Times New Roman"/>
          <w:sz w:val="24"/>
          <w:szCs w:val="24"/>
        </w:rPr>
      </w:pPr>
      <w:r w:rsidRPr="00352847">
        <w:rPr>
          <w:rFonts w:ascii="Times New Roman" w:eastAsiaTheme="minorEastAsia" w:hAnsi="Times New Roman" w:cs="Times New Roman"/>
          <w:sz w:val="24"/>
          <w:szCs w:val="24"/>
        </w:rPr>
        <w:t>2. Ovlivní šířka vzduchové mezery mezi kovovým plechem na váhách a jádrem elektromagnetu naměřené a vypočítané hodnoty?</w:t>
      </w:r>
    </w:p>
    <w:sectPr w:rsidR="00DC7340" w:rsidRPr="00352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47"/>
    <w:rsid w:val="0000043B"/>
    <w:rsid w:val="00001476"/>
    <w:rsid w:val="000018F0"/>
    <w:rsid w:val="000033DE"/>
    <w:rsid w:val="00003B2F"/>
    <w:rsid w:val="00004461"/>
    <w:rsid w:val="000044D7"/>
    <w:rsid w:val="00005C92"/>
    <w:rsid w:val="0000624F"/>
    <w:rsid w:val="00011776"/>
    <w:rsid w:val="00013EA6"/>
    <w:rsid w:val="00014032"/>
    <w:rsid w:val="00015370"/>
    <w:rsid w:val="00017AAC"/>
    <w:rsid w:val="0002008C"/>
    <w:rsid w:val="00020092"/>
    <w:rsid w:val="00021858"/>
    <w:rsid w:val="000227BA"/>
    <w:rsid w:val="00023DCC"/>
    <w:rsid w:val="00027FD5"/>
    <w:rsid w:val="000329AF"/>
    <w:rsid w:val="00032E7A"/>
    <w:rsid w:val="00034484"/>
    <w:rsid w:val="00034E09"/>
    <w:rsid w:val="00035378"/>
    <w:rsid w:val="00035792"/>
    <w:rsid w:val="000359D0"/>
    <w:rsid w:val="00036686"/>
    <w:rsid w:val="00036854"/>
    <w:rsid w:val="0003705E"/>
    <w:rsid w:val="00037185"/>
    <w:rsid w:val="00041029"/>
    <w:rsid w:val="00042917"/>
    <w:rsid w:val="00042B71"/>
    <w:rsid w:val="00042EDD"/>
    <w:rsid w:val="00044733"/>
    <w:rsid w:val="00044E8E"/>
    <w:rsid w:val="00046D48"/>
    <w:rsid w:val="0005080D"/>
    <w:rsid w:val="00051826"/>
    <w:rsid w:val="000529A2"/>
    <w:rsid w:val="0005323A"/>
    <w:rsid w:val="000539A1"/>
    <w:rsid w:val="00053CB3"/>
    <w:rsid w:val="00054378"/>
    <w:rsid w:val="000553E2"/>
    <w:rsid w:val="000564FE"/>
    <w:rsid w:val="000565F7"/>
    <w:rsid w:val="00061DB8"/>
    <w:rsid w:val="00063ACB"/>
    <w:rsid w:val="00065740"/>
    <w:rsid w:val="0006712E"/>
    <w:rsid w:val="0006735A"/>
    <w:rsid w:val="0006791D"/>
    <w:rsid w:val="00067F9A"/>
    <w:rsid w:val="00070044"/>
    <w:rsid w:val="0007036D"/>
    <w:rsid w:val="00073A7F"/>
    <w:rsid w:val="00073DA7"/>
    <w:rsid w:val="00074E49"/>
    <w:rsid w:val="00075B66"/>
    <w:rsid w:val="00076772"/>
    <w:rsid w:val="00081D24"/>
    <w:rsid w:val="0008244C"/>
    <w:rsid w:val="00083643"/>
    <w:rsid w:val="00083739"/>
    <w:rsid w:val="00084740"/>
    <w:rsid w:val="00085E6B"/>
    <w:rsid w:val="0008602A"/>
    <w:rsid w:val="0008608F"/>
    <w:rsid w:val="000863C7"/>
    <w:rsid w:val="00086ABA"/>
    <w:rsid w:val="00087ECC"/>
    <w:rsid w:val="00090158"/>
    <w:rsid w:val="00090399"/>
    <w:rsid w:val="00091AD3"/>
    <w:rsid w:val="000921F0"/>
    <w:rsid w:val="000945DF"/>
    <w:rsid w:val="00094732"/>
    <w:rsid w:val="000948A2"/>
    <w:rsid w:val="00096CCE"/>
    <w:rsid w:val="000976F2"/>
    <w:rsid w:val="000A0464"/>
    <w:rsid w:val="000A0600"/>
    <w:rsid w:val="000A0F71"/>
    <w:rsid w:val="000A5121"/>
    <w:rsid w:val="000A6772"/>
    <w:rsid w:val="000A6930"/>
    <w:rsid w:val="000A7127"/>
    <w:rsid w:val="000A7455"/>
    <w:rsid w:val="000B2050"/>
    <w:rsid w:val="000B2D95"/>
    <w:rsid w:val="000B32DA"/>
    <w:rsid w:val="000B3A9D"/>
    <w:rsid w:val="000B4D41"/>
    <w:rsid w:val="000B500F"/>
    <w:rsid w:val="000B5227"/>
    <w:rsid w:val="000B7C3C"/>
    <w:rsid w:val="000B7D2B"/>
    <w:rsid w:val="000C05B5"/>
    <w:rsid w:val="000C0C4F"/>
    <w:rsid w:val="000C246F"/>
    <w:rsid w:val="000C3C5F"/>
    <w:rsid w:val="000C4EEC"/>
    <w:rsid w:val="000C5CF0"/>
    <w:rsid w:val="000C6478"/>
    <w:rsid w:val="000C6BC8"/>
    <w:rsid w:val="000C6EA6"/>
    <w:rsid w:val="000C7D85"/>
    <w:rsid w:val="000D180B"/>
    <w:rsid w:val="000D19CA"/>
    <w:rsid w:val="000D1F1A"/>
    <w:rsid w:val="000D29AE"/>
    <w:rsid w:val="000D3EF9"/>
    <w:rsid w:val="000D4882"/>
    <w:rsid w:val="000D4F46"/>
    <w:rsid w:val="000D5743"/>
    <w:rsid w:val="000D5E5C"/>
    <w:rsid w:val="000D5E6D"/>
    <w:rsid w:val="000E0D71"/>
    <w:rsid w:val="000E15BF"/>
    <w:rsid w:val="000E309C"/>
    <w:rsid w:val="000E4715"/>
    <w:rsid w:val="000E55FC"/>
    <w:rsid w:val="000E6856"/>
    <w:rsid w:val="000E7348"/>
    <w:rsid w:val="000E7BD0"/>
    <w:rsid w:val="000E7FF5"/>
    <w:rsid w:val="000F0037"/>
    <w:rsid w:val="000F0202"/>
    <w:rsid w:val="000F05A4"/>
    <w:rsid w:val="000F1F03"/>
    <w:rsid w:val="000F2BE3"/>
    <w:rsid w:val="000F5FAB"/>
    <w:rsid w:val="000F6329"/>
    <w:rsid w:val="001002CF"/>
    <w:rsid w:val="00100FE1"/>
    <w:rsid w:val="001013CA"/>
    <w:rsid w:val="00104F1E"/>
    <w:rsid w:val="00104FAB"/>
    <w:rsid w:val="00106AAC"/>
    <w:rsid w:val="00106BA3"/>
    <w:rsid w:val="00106C1E"/>
    <w:rsid w:val="001074C2"/>
    <w:rsid w:val="001108F5"/>
    <w:rsid w:val="00110C22"/>
    <w:rsid w:val="001117B9"/>
    <w:rsid w:val="001127D3"/>
    <w:rsid w:val="00112E5E"/>
    <w:rsid w:val="00113692"/>
    <w:rsid w:val="0011391D"/>
    <w:rsid w:val="00113A96"/>
    <w:rsid w:val="00115F7A"/>
    <w:rsid w:val="00120241"/>
    <w:rsid w:val="00122246"/>
    <w:rsid w:val="001223FE"/>
    <w:rsid w:val="00122739"/>
    <w:rsid w:val="00122D6C"/>
    <w:rsid w:val="00122E89"/>
    <w:rsid w:val="00123474"/>
    <w:rsid w:val="001252A9"/>
    <w:rsid w:val="00125ED3"/>
    <w:rsid w:val="001263D9"/>
    <w:rsid w:val="0012650B"/>
    <w:rsid w:val="001265A9"/>
    <w:rsid w:val="00126F37"/>
    <w:rsid w:val="00130353"/>
    <w:rsid w:val="00130F4E"/>
    <w:rsid w:val="00131E25"/>
    <w:rsid w:val="001365BD"/>
    <w:rsid w:val="00136616"/>
    <w:rsid w:val="001370A3"/>
    <w:rsid w:val="00137F6F"/>
    <w:rsid w:val="001401D2"/>
    <w:rsid w:val="001402E1"/>
    <w:rsid w:val="00140C46"/>
    <w:rsid w:val="001433EB"/>
    <w:rsid w:val="00144D0A"/>
    <w:rsid w:val="001452BD"/>
    <w:rsid w:val="001472CB"/>
    <w:rsid w:val="00147F44"/>
    <w:rsid w:val="00150270"/>
    <w:rsid w:val="0015037A"/>
    <w:rsid w:val="001503B4"/>
    <w:rsid w:val="00150411"/>
    <w:rsid w:val="001508DC"/>
    <w:rsid w:val="00151FD9"/>
    <w:rsid w:val="00154534"/>
    <w:rsid w:val="0015498A"/>
    <w:rsid w:val="00154B66"/>
    <w:rsid w:val="001567F3"/>
    <w:rsid w:val="00160398"/>
    <w:rsid w:val="00160BE7"/>
    <w:rsid w:val="0016187F"/>
    <w:rsid w:val="00161D25"/>
    <w:rsid w:val="00164949"/>
    <w:rsid w:val="00167B3E"/>
    <w:rsid w:val="00171E26"/>
    <w:rsid w:val="001724B4"/>
    <w:rsid w:val="001777E2"/>
    <w:rsid w:val="001804F1"/>
    <w:rsid w:val="00180B9A"/>
    <w:rsid w:val="00182651"/>
    <w:rsid w:val="00185ABA"/>
    <w:rsid w:val="00186145"/>
    <w:rsid w:val="001869ED"/>
    <w:rsid w:val="001900CF"/>
    <w:rsid w:val="00191332"/>
    <w:rsid w:val="001915FA"/>
    <w:rsid w:val="00191E3C"/>
    <w:rsid w:val="00192A09"/>
    <w:rsid w:val="0019371F"/>
    <w:rsid w:val="0019478C"/>
    <w:rsid w:val="00194811"/>
    <w:rsid w:val="00194B6F"/>
    <w:rsid w:val="00194CD2"/>
    <w:rsid w:val="00196EA5"/>
    <w:rsid w:val="001A0607"/>
    <w:rsid w:val="001A10E3"/>
    <w:rsid w:val="001A14D9"/>
    <w:rsid w:val="001A3C5D"/>
    <w:rsid w:val="001A6A25"/>
    <w:rsid w:val="001B0ED2"/>
    <w:rsid w:val="001B1728"/>
    <w:rsid w:val="001B22F5"/>
    <w:rsid w:val="001B2C86"/>
    <w:rsid w:val="001B6028"/>
    <w:rsid w:val="001C0BB7"/>
    <w:rsid w:val="001C0BE8"/>
    <w:rsid w:val="001C166E"/>
    <w:rsid w:val="001C3D15"/>
    <w:rsid w:val="001C401D"/>
    <w:rsid w:val="001C4375"/>
    <w:rsid w:val="001C4B53"/>
    <w:rsid w:val="001C4BD4"/>
    <w:rsid w:val="001C4F29"/>
    <w:rsid w:val="001C4F86"/>
    <w:rsid w:val="001C61CC"/>
    <w:rsid w:val="001C6268"/>
    <w:rsid w:val="001C763B"/>
    <w:rsid w:val="001D0C28"/>
    <w:rsid w:val="001D0C74"/>
    <w:rsid w:val="001D2A96"/>
    <w:rsid w:val="001D2D67"/>
    <w:rsid w:val="001D5995"/>
    <w:rsid w:val="001D59AF"/>
    <w:rsid w:val="001D5A05"/>
    <w:rsid w:val="001D5F9C"/>
    <w:rsid w:val="001D5FFD"/>
    <w:rsid w:val="001D6143"/>
    <w:rsid w:val="001D62C6"/>
    <w:rsid w:val="001D67CA"/>
    <w:rsid w:val="001E0E84"/>
    <w:rsid w:val="001E1377"/>
    <w:rsid w:val="001E200C"/>
    <w:rsid w:val="001E3CD7"/>
    <w:rsid w:val="001E4880"/>
    <w:rsid w:val="001E5CC9"/>
    <w:rsid w:val="001F2F20"/>
    <w:rsid w:val="001F435A"/>
    <w:rsid w:val="001F451C"/>
    <w:rsid w:val="001F46DB"/>
    <w:rsid w:val="001F488B"/>
    <w:rsid w:val="001F4CAF"/>
    <w:rsid w:val="001F5839"/>
    <w:rsid w:val="001F715E"/>
    <w:rsid w:val="0020081B"/>
    <w:rsid w:val="00201146"/>
    <w:rsid w:val="00202A2D"/>
    <w:rsid w:val="00202B74"/>
    <w:rsid w:val="002034D9"/>
    <w:rsid w:val="00204ED5"/>
    <w:rsid w:val="00205D3C"/>
    <w:rsid w:val="002061DA"/>
    <w:rsid w:val="00207091"/>
    <w:rsid w:val="0021048D"/>
    <w:rsid w:val="00212DB7"/>
    <w:rsid w:val="002131DA"/>
    <w:rsid w:val="00213301"/>
    <w:rsid w:val="00213C6B"/>
    <w:rsid w:val="002143F8"/>
    <w:rsid w:val="002158F0"/>
    <w:rsid w:val="00222AEC"/>
    <w:rsid w:val="002232BA"/>
    <w:rsid w:val="002249FA"/>
    <w:rsid w:val="002268F6"/>
    <w:rsid w:val="00227052"/>
    <w:rsid w:val="00227F95"/>
    <w:rsid w:val="002310FE"/>
    <w:rsid w:val="0023335E"/>
    <w:rsid w:val="0024093A"/>
    <w:rsid w:val="00240B6A"/>
    <w:rsid w:val="00240C30"/>
    <w:rsid w:val="00241FDC"/>
    <w:rsid w:val="002423A8"/>
    <w:rsid w:val="00244E72"/>
    <w:rsid w:val="002459BF"/>
    <w:rsid w:val="00245E29"/>
    <w:rsid w:val="002462E1"/>
    <w:rsid w:val="002468F3"/>
    <w:rsid w:val="00251310"/>
    <w:rsid w:val="00251F71"/>
    <w:rsid w:val="002533B7"/>
    <w:rsid w:val="00254F38"/>
    <w:rsid w:val="0025677C"/>
    <w:rsid w:val="002608B8"/>
    <w:rsid w:val="00260FA5"/>
    <w:rsid w:val="00263095"/>
    <w:rsid w:val="002631F6"/>
    <w:rsid w:val="00263C00"/>
    <w:rsid w:val="00263DAF"/>
    <w:rsid w:val="00264CA2"/>
    <w:rsid w:val="00265204"/>
    <w:rsid w:val="002652B7"/>
    <w:rsid w:val="00266B07"/>
    <w:rsid w:val="00266ECF"/>
    <w:rsid w:val="00270E79"/>
    <w:rsid w:val="00271AC5"/>
    <w:rsid w:val="00271DAC"/>
    <w:rsid w:val="002721F9"/>
    <w:rsid w:val="00272269"/>
    <w:rsid w:val="00272B07"/>
    <w:rsid w:val="00273EC8"/>
    <w:rsid w:val="00275153"/>
    <w:rsid w:val="00276621"/>
    <w:rsid w:val="00276CF2"/>
    <w:rsid w:val="002779FC"/>
    <w:rsid w:val="00281356"/>
    <w:rsid w:val="002824D0"/>
    <w:rsid w:val="0028345D"/>
    <w:rsid w:val="002836B9"/>
    <w:rsid w:val="00283780"/>
    <w:rsid w:val="0028395D"/>
    <w:rsid w:val="00285025"/>
    <w:rsid w:val="002856F0"/>
    <w:rsid w:val="002861E2"/>
    <w:rsid w:val="0028676F"/>
    <w:rsid w:val="00286EB6"/>
    <w:rsid w:val="00287401"/>
    <w:rsid w:val="00287E2B"/>
    <w:rsid w:val="0029193D"/>
    <w:rsid w:val="00293801"/>
    <w:rsid w:val="00294B76"/>
    <w:rsid w:val="00295F32"/>
    <w:rsid w:val="00295F54"/>
    <w:rsid w:val="002960EB"/>
    <w:rsid w:val="002963EF"/>
    <w:rsid w:val="00296B11"/>
    <w:rsid w:val="002A03AE"/>
    <w:rsid w:val="002A15BC"/>
    <w:rsid w:val="002A1680"/>
    <w:rsid w:val="002A2B03"/>
    <w:rsid w:val="002A2C2D"/>
    <w:rsid w:val="002A2F60"/>
    <w:rsid w:val="002A37B6"/>
    <w:rsid w:val="002A4926"/>
    <w:rsid w:val="002A5F8B"/>
    <w:rsid w:val="002A6BE7"/>
    <w:rsid w:val="002A6CD9"/>
    <w:rsid w:val="002A743F"/>
    <w:rsid w:val="002B0BCC"/>
    <w:rsid w:val="002B1925"/>
    <w:rsid w:val="002B21B4"/>
    <w:rsid w:val="002B356B"/>
    <w:rsid w:val="002B44CA"/>
    <w:rsid w:val="002B4BFE"/>
    <w:rsid w:val="002B4DD4"/>
    <w:rsid w:val="002B5522"/>
    <w:rsid w:val="002B6CBB"/>
    <w:rsid w:val="002C0331"/>
    <w:rsid w:val="002C05A4"/>
    <w:rsid w:val="002C09E4"/>
    <w:rsid w:val="002C0CF4"/>
    <w:rsid w:val="002C12C0"/>
    <w:rsid w:val="002C1699"/>
    <w:rsid w:val="002C1C60"/>
    <w:rsid w:val="002C2186"/>
    <w:rsid w:val="002C435F"/>
    <w:rsid w:val="002C61E5"/>
    <w:rsid w:val="002C7B32"/>
    <w:rsid w:val="002D1D81"/>
    <w:rsid w:val="002D2124"/>
    <w:rsid w:val="002D22FD"/>
    <w:rsid w:val="002D2785"/>
    <w:rsid w:val="002D3105"/>
    <w:rsid w:val="002D4B57"/>
    <w:rsid w:val="002D53DA"/>
    <w:rsid w:val="002D572D"/>
    <w:rsid w:val="002D5A77"/>
    <w:rsid w:val="002D6BF5"/>
    <w:rsid w:val="002D7055"/>
    <w:rsid w:val="002D73C4"/>
    <w:rsid w:val="002D7DAF"/>
    <w:rsid w:val="002E0ADC"/>
    <w:rsid w:val="002E0DB1"/>
    <w:rsid w:val="002E18D7"/>
    <w:rsid w:val="002E21AF"/>
    <w:rsid w:val="002E23FD"/>
    <w:rsid w:val="002E42FC"/>
    <w:rsid w:val="002E46E5"/>
    <w:rsid w:val="002E486B"/>
    <w:rsid w:val="002F04C6"/>
    <w:rsid w:val="002F17DE"/>
    <w:rsid w:val="002F4045"/>
    <w:rsid w:val="002F72F5"/>
    <w:rsid w:val="00301E35"/>
    <w:rsid w:val="00302231"/>
    <w:rsid w:val="003022E1"/>
    <w:rsid w:val="00303878"/>
    <w:rsid w:val="00304782"/>
    <w:rsid w:val="003048A9"/>
    <w:rsid w:val="003050C2"/>
    <w:rsid w:val="00306DD7"/>
    <w:rsid w:val="0031097C"/>
    <w:rsid w:val="00310D3D"/>
    <w:rsid w:val="00311223"/>
    <w:rsid w:val="0031228C"/>
    <w:rsid w:val="00313719"/>
    <w:rsid w:val="00313C7C"/>
    <w:rsid w:val="003141C5"/>
    <w:rsid w:val="003161CA"/>
    <w:rsid w:val="00316DF0"/>
    <w:rsid w:val="0032052B"/>
    <w:rsid w:val="00321A8A"/>
    <w:rsid w:val="00322D60"/>
    <w:rsid w:val="00324451"/>
    <w:rsid w:val="003256A3"/>
    <w:rsid w:val="00325FF3"/>
    <w:rsid w:val="003261DB"/>
    <w:rsid w:val="00327AA1"/>
    <w:rsid w:val="0033022D"/>
    <w:rsid w:val="00330329"/>
    <w:rsid w:val="003307C9"/>
    <w:rsid w:val="00330A7C"/>
    <w:rsid w:val="003322E5"/>
    <w:rsid w:val="00332385"/>
    <w:rsid w:val="0033239F"/>
    <w:rsid w:val="00332A04"/>
    <w:rsid w:val="00332AE5"/>
    <w:rsid w:val="00332C3E"/>
    <w:rsid w:val="003343BC"/>
    <w:rsid w:val="00334715"/>
    <w:rsid w:val="00334E3E"/>
    <w:rsid w:val="00335487"/>
    <w:rsid w:val="003355C1"/>
    <w:rsid w:val="00335A96"/>
    <w:rsid w:val="00335DE8"/>
    <w:rsid w:val="0033678B"/>
    <w:rsid w:val="003376D5"/>
    <w:rsid w:val="00337A9A"/>
    <w:rsid w:val="003429C2"/>
    <w:rsid w:val="00342B0D"/>
    <w:rsid w:val="00342E36"/>
    <w:rsid w:val="00342E72"/>
    <w:rsid w:val="003433C6"/>
    <w:rsid w:val="00343449"/>
    <w:rsid w:val="00346E8E"/>
    <w:rsid w:val="00352847"/>
    <w:rsid w:val="0035295C"/>
    <w:rsid w:val="00353C72"/>
    <w:rsid w:val="00354608"/>
    <w:rsid w:val="00354C32"/>
    <w:rsid w:val="0035535B"/>
    <w:rsid w:val="00355841"/>
    <w:rsid w:val="003579A2"/>
    <w:rsid w:val="003600F3"/>
    <w:rsid w:val="003621F6"/>
    <w:rsid w:val="003624CE"/>
    <w:rsid w:val="00364494"/>
    <w:rsid w:val="0037016F"/>
    <w:rsid w:val="00371C1D"/>
    <w:rsid w:val="00373A3C"/>
    <w:rsid w:val="00374020"/>
    <w:rsid w:val="00374AAF"/>
    <w:rsid w:val="003750E6"/>
    <w:rsid w:val="003761A8"/>
    <w:rsid w:val="00377617"/>
    <w:rsid w:val="00377E33"/>
    <w:rsid w:val="00380EAA"/>
    <w:rsid w:val="00381A04"/>
    <w:rsid w:val="0038276D"/>
    <w:rsid w:val="00383979"/>
    <w:rsid w:val="003849F9"/>
    <w:rsid w:val="00386599"/>
    <w:rsid w:val="00386B99"/>
    <w:rsid w:val="00387A84"/>
    <w:rsid w:val="00387B02"/>
    <w:rsid w:val="00387E70"/>
    <w:rsid w:val="003920ED"/>
    <w:rsid w:val="00394A65"/>
    <w:rsid w:val="003967B9"/>
    <w:rsid w:val="003969E2"/>
    <w:rsid w:val="00396FAD"/>
    <w:rsid w:val="003974EA"/>
    <w:rsid w:val="003A0014"/>
    <w:rsid w:val="003A0353"/>
    <w:rsid w:val="003A0A4C"/>
    <w:rsid w:val="003A1F7B"/>
    <w:rsid w:val="003A3CF5"/>
    <w:rsid w:val="003A3F70"/>
    <w:rsid w:val="003A4D5C"/>
    <w:rsid w:val="003B1089"/>
    <w:rsid w:val="003B1531"/>
    <w:rsid w:val="003B1DCF"/>
    <w:rsid w:val="003B2AA6"/>
    <w:rsid w:val="003B2B74"/>
    <w:rsid w:val="003B2C16"/>
    <w:rsid w:val="003B3B36"/>
    <w:rsid w:val="003B4817"/>
    <w:rsid w:val="003B4CC2"/>
    <w:rsid w:val="003B74DE"/>
    <w:rsid w:val="003B7C48"/>
    <w:rsid w:val="003C0918"/>
    <w:rsid w:val="003C112C"/>
    <w:rsid w:val="003C1D6C"/>
    <w:rsid w:val="003C214C"/>
    <w:rsid w:val="003C2D33"/>
    <w:rsid w:val="003C3310"/>
    <w:rsid w:val="003C354C"/>
    <w:rsid w:val="003C35B5"/>
    <w:rsid w:val="003C5C00"/>
    <w:rsid w:val="003C5D47"/>
    <w:rsid w:val="003C60FB"/>
    <w:rsid w:val="003C6B36"/>
    <w:rsid w:val="003D1E90"/>
    <w:rsid w:val="003D2098"/>
    <w:rsid w:val="003D22B0"/>
    <w:rsid w:val="003D2CC6"/>
    <w:rsid w:val="003D4C51"/>
    <w:rsid w:val="003D611D"/>
    <w:rsid w:val="003D6CC7"/>
    <w:rsid w:val="003E068B"/>
    <w:rsid w:val="003E2017"/>
    <w:rsid w:val="003E25EE"/>
    <w:rsid w:val="003E300D"/>
    <w:rsid w:val="003E4872"/>
    <w:rsid w:val="003E542D"/>
    <w:rsid w:val="003E5943"/>
    <w:rsid w:val="003E6B8B"/>
    <w:rsid w:val="003E6F4D"/>
    <w:rsid w:val="003E7AA1"/>
    <w:rsid w:val="003E7BCF"/>
    <w:rsid w:val="003F1BD0"/>
    <w:rsid w:val="003F1ECF"/>
    <w:rsid w:val="003F30B6"/>
    <w:rsid w:val="003F3C20"/>
    <w:rsid w:val="003F40B2"/>
    <w:rsid w:val="003F43FB"/>
    <w:rsid w:val="003F466B"/>
    <w:rsid w:val="003F50CF"/>
    <w:rsid w:val="003F6630"/>
    <w:rsid w:val="003F773D"/>
    <w:rsid w:val="00400659"/>
    <w:rsid w:val="00400B72"/>
    <w:rsid w:val="00401B65"/>
    <w:rsid w:val="0040355A"/>
    <w:rsid w:val="00403878"/>
    <w:rsid w:val="00403946"/>
    <w:rsid w:val="00403D8E"/>
    <w:rsid w:val="00404288"/>
    <w:rsid w:val="00405E53"/>
    <w:rsid w:val="00406AB6"/>
    <w:rsid w:val="00410DBD"/>
    <w:rsid w:val="004119A8"/>
    <w:rsid w:val="00411B91"/>
    <w:rsid w:val="00412986"/>
    <w:rsid w:val="00412D39"/>
    <w:rsid w:val="004158C4"/>
    <w:rsid w:val="00415CDB"/>
    <w:rsid w:val="00417065"/>
    <w:rsid w:val="00420DF1"/>
    <w:rsid w:val="00425901"/>
    <w:rsid w:val="00426A67"/>
    <w:rsid w:val="00427445"/>
    <w:rsid w:val="00427946"/>
    <w:rsid w:val="00431B24"/>
    <w:rsid w:val="00431EC4"/>
    <w:rsid w:val="004330F0"/>
    <w:rsid w:val="00433D1F"/>
    <w:rsid w:val="004351C5"/>
    <w:rsid w:val="00437034"/>
    <w:rsid w:val="0043769F"/>
    <w:rsid w:val="00437C03"/>
    <w:rsid w:val="004418D3"/>
    <w:rsid w:val="0044320A"/>
    <w:rsid w:val="0044321E"/>
    <w:rsid w:val="00443419"/>
    <w:rsid w:val="00445EEA"/>
    <w:rsid w:val="004476C0"/>
    <w:rsid w:val="00450FE2"/>
    <w:rsid w:val="0045102A"/>
    <w:rsid w:val="004529BF"/>
    <w:rsid w:val="0045475D"/>
    <w:rsid w:val="00454A25"/>
    <w:rsid w:val="00454A34"/>
    <w:rsid w:val="00455D38"/>
    <w:rsid w:val="00455F1F"/>
    <w:rsid w:val="004579CB"/>
    <w:rsid w:val="00460690"/>
    <w:rsid w:val="00460E82"/>
    <w:rsid w:val="004643A4"/>
    <w:rsid w:val="00465DA4"/>
    <w:rsid w:val="00467883"/>
    <w:rsid w:val="00470874"/>
    <w:rsid w:val="00470BDA"/>
    <w:rsid w:val="00470CAA"/>
    <w:rsid w:val="00470E5A"/>
    <w:rsid w:val="004712B5"/>
    <w:rsid w:val="004714BF"/>
    <w:rsid w:val="00471649"/>
    <w:rsid w:val="00472B64"/>
    <w:rsid w:val="00472BE4"/>
    <w:rsid w:val="0047497C"/>
    <w:rsid w:val="00475395"/>
    <w:rsid w:val="00481C2C"/>
    <w:rsid w:val="00484754"/>
    <w:rsid w:val="00486435"/>
    <w:rsid w:val="00492B44"/>
    <w:rsid w:val="0049320E"/>
    <w:rsid w:val="00494949"/>
    <w:rsid w:val="004949FA"/>
    <w:rsid w:val="0049593E"/>
    <w:rsid w:val="00495B9E"/>
    <w:rsid w:val="004964AE"/>
    <w:rsid w:val="00497B79"/>
    <w:rsid w:val="004A385A"/>
    <w:rsid w:val="004A43C8"/>
    <w:rsid w:val="004A6931"/>
    <w:rsid w:val="004A6D9D"/>
    <w:rsid w:val="004A7A7C"/>
    <w:rsid w:val="004A7D67"/>
    <w:rsid w:val="004B13ED"/>
    <w:rsid w:val="004B18E8"/>
    <w:rsid w:val="004B389F"/>
    <w:rsid w:val="004B39B9"/>
    <w:rsid w:val="004B3B16"/>
    <w:rsid w:val="004B409D"/>
    <w:rsid w:val="004B53DB"/>
    <w:rsid w:val="004C0ED6"/>
    <w:rsid w:val="004C28A5"/>
    <w:rsid w:val="004C399B"/>
    <w:rsid w:val="004C3BF3"/>
    <w:rsid w:val="004C46D8"/>
    <w:rsid w:val="004C5DB8"/>
    <w:rsid w:val="004C6BB8"/>
    <w:rsid w:val="004C7F32"/>
    <w:rsid w:val="004D026B"/>
    <w:rsid w:val="004D13BA"/>
    <w:rsid w:val="004D16D0"/>
    <w:rsid w:val="004D361F"/>
    <w:rsid w:val="004D3C19"/>
    <w:rsid w:val="004D4C17"/>
    <w:rsid w:val="004D5E5A"/>
    <w:rsid w:val="004D5FE9"/>
    <w:rsid w:val="004D6845"/>
    <w:rsid w:val="004D782F"/>
    <w:rsid w:val="004D7E6B"/>
    <w:rsid w:val="004E13CC"/>
    <w:rsid w:val="004E188D"/>
    <w:rsid w:val="004E1B86"/>
    <w:rsid w:val="004E28EA"/>
    <w:rsid w:val="004E29DF"/>
    <w:rsid w:val="004E32DA"/>
    <w:rsid w:val="004E3E0F"/>
    <w:rsid w:val="004E4863"/>
    <w:rsid w:val="004E5831"/>
    <w:rsid w:val="004E67FE"/>
    <w:rsid w:val="004F1B96"/>
    <w:rsid w:val="004F3BD8"/>
    <w:rsid w:val="004F3EA1"/>
    <w:rsid w:val="004F499D"/>
    <w:rsid w:val="004F4CD3"/>
    <w:rsid w:val="004F5EB3"/>
    <w:rsid w:val="005011CB"/>
    <w:rsid w:val="005012D8"/>
    <w:rsid w:val="00502648"/>
    <w:rsid w:val="00502DBE"/>
    <w:rsid w:val="005034B0"/>
    <w:rsid w:val="00505F71"/>
    <w:rsid w:val="00505FC2"/>
    <w:rsid w:val="00506360"/>
    <w:rsid w:val="0050673A"/>
    <w:rsid w:val="00506C05"/>
    <w:rsid w:val="00506CF9"/>
    <w:rsid w:val="00507247"/>
    <w:rsid w:val="005125E2"/>
    <w:rsid w:val="00512F70"/>
    <w:rsid w:val="00514E6B"/>
    <w:rsid w:val="00515C85"/>
    <w:rsid w:val="00517F94"/>
    <w:rsid w:val="00520986"/>
    <w:rsid w:val="0052182D"/>
    <w:rsid w:val="00521BFD"/>
    <w:rsid w:val="005228B8"/>
    <w:rsid w:val="0052371E"/>
    <w:rsid w:val="00523A56"/>
    <w:rsid w:val="00524236"/>
    <w:rsid w:val="00524631"/>
    <w:rsid w:val="005251C8"/>
    <w:rsid w:val="00525EFE"/>
    <w:rsid w:val="00527AC7"/>
    <w:rsid w:val="00530CE3"/>
    <w:rsid w:val="00534DF6"/>
    <w:rsid w:val="00535140"/>
    <w:rsid w:val="0053710C"/>
    <w:rsid w:val="0053765C"/>
    <w:rsid w:val="00542072"/>
    <w:rsid w:val="00542541"/>
    <w:rsid w:val="00542A45"/>
    <w:rsid w:val="0054571F"/>
    <w:rsid w:val="00547297"/>
    <w:rsid w:val="00550974"/>
    <w:rsid w:val="00550BD9"/>
    <w:rsid w:val="00552491"/>
    <w:rsid w:val="00553405"/>
    <w:rsid w:val="0055375A"/>
    <w:rsid w:val="00553E6F"/>
    <w:rsid w:val="00554039"/>
    <w:rsid w:val="00555861"/>
    <w:rsid w:val="00556823"/>
    <w:rsid w:val="00561765"/>
    <w:rsid w:val="00562E23"/>
    <w:rsid w:val="005639DA"/>
    <w:rsid w:val="0056476C"/>
    <w:rsid w:val="00566027"/>
    <w:rsid w:val="0057079F"/>
    <w:rsid w:val="00570E55"/>
    <w:rsid w:val="00571B44"/>
    <w:rsid w:val="00573179"/>
    <w:rsid w:val="00574245"/>
    <w:rsid w:val="005746DA"/>
    <w:rsid w:val="00574F1A"/>
    <w:rsid w:val="0057524E"/>
    <w:rsid w:val="00577862"/>
    <w:rsid w:val="0058089A"/>
    <w:rsid w:val="00580D9F"/>
    <w:rsid w:val="005833E6"/>
    <w:rsid w:val="005852CA"/>
    <w:rsid w:val="00586D40"/>
    <w:rsid w:val="00587169"/>
    <w:rsid w:val="00587591"/>
    <w:rsid w:val="00587E5E"/>
    <w:rsid w:val="00591802"/>
    <w:rsid w:val="00592523"/>
    <w:rsid w:val="00592F8F"/>
    <w:rsid w:val="00593DB2"/>
    <w:rsid w:val="00594827"/>
    <w:rsid w:val="00595189"/>
    <w:rsid w:val="00595D87"/>
    <w:rsid w:val="00595E0B"/>
    <w:rsid w:val="00596607"/>
    <w:rsid w:val="00596FA0"/>
    <w:rsid w:val="005A0274"/>
    <w:rsid w:val="005A0C14"/>
    <w:rsid w:val="005A2316"/>
    <w:rsid w:val="005A2BC1"/>
    <w:rsid w:val="005A2CB7"/>
    <w:rsid w:val="005A371C"/>
    <w:rsid w:val="005A3E7C"/>
    <w:rsid w:val="005B1330"/>
    <w:rsid w:val="005B19DA"/>
    <w:rsid w:val="005B4960"/>
    <w:rsid w:val="005B51A5"/>
    <w:rsid w:val="005C040D"/>
    <w:rsid w:val="005C09A9"/>
    <w:rsid w:val="005C12DA"/>
    <w:rsid w:val="005C22B4"/>
    <w:rsid w:val="005C2CF6"/>
    <w:rsid w:val="005C605B"/>
    <w:rsid w:val="005C7C08"/>
    <w:rsid w:val="005D0011"/>
    <w:rsid w:val="005D04E0"/>
    <w:rsid w:val="005D16A3"/>
    <w:rsid w:val="005D1882"/>
    <w:rsid w:val="005D2814"/>
    <w:rsid w:val="005D2AD3"/>
    <w:rsid w:val="005D39FF"/>
    <w:rsid w:val="005D43FF"/>
    <w:rsid w:val="005D4626"/>
    <w:rsid w:val="005D47A5"/>
    <w:rsid w:val="005D4E73"/>
    <w:rsid w:val="005D5B08"/>
    <w:rsid w:val="005E0C22"/>
    <w:rsid w:val="005E15C9"/>
    <w:rsid w:val="005E170F"/>
    <w:rsid w:val="005E445D"/>
    <w:rsid w:val="005E5F88"/>
    <w:rsid w:val="005E693F"/>
    <w:rsid w:val="005E7828"/>
    <w:rsid w:val="005F0C17"/>
    <w:rsid w:val="005F1D11"/>
    <w:rsid w:val="005F1D3A"/>
    <w:rsid w:val="005F342A"/>
    <w:rsid w:val="005F366C"/>
    <w:rsid w:val="005F4127"/>
    <w:rsid w:val="005F42E9"/>
    <w:rsid w:val="005F4649"/>
    <w:rsid w:val="005F4EC1"/>
    <w:rsid w:val="005F55F5"/>
    <w:rsid w:val="005F7416"/>
    <w:rsid w:val="005F7DC3"/>
    <w:rsid w:val="00600299"/>
    <w:rsid w:val="006034A5"/>
    <w:rsid w:val="0060389F"/>
    <w:rsid w:val="00603EE2"/>
    <w:rsid w:val="006050E0"/>
    <w:rsid w:val="006051DD"/>
    <w:rsid w:val="00606AB8"/>
    <w:rsid w:val="00607944"/>
    <w:rsid w:val="00610EC8"/>
    <w:rsid w:val="006142AD"/>
    <w:rsid w:val="00615E8C"/>
    <w:rsid w:val="0061627A"/>
    <w:rsid w:val="006177BC"/>
    <w:rsid w:val="00620028"/>
    <w:rsid w:val="0062164D"/>
    <w:rsid w:val="00622063"/>
    <w:rsid w:val="00623008"/>
    <w:rsid w:val="006232C9"/>
    <w:rsid w:val="00623791"/>
    <w:rsid w:val="006245C8"/>
    <w:rsid w:val="00630B5F"/>
    <w:rsid w:val="006347AA"/>
    <w:rsid w:val="00640410"/>
    <w:rsid w:val="00641D97"/>
    <w:rsid w:val="00642C22"/>
    <w:rsid w:val="00644B0F"/>
    <w:rsid w:val="00650259"/>
    <w:rsid w:val="006502DC"/>
    <w:rsid w:val="00651D40"/>
    <w:rsid w:val="00652AF0"/>
    <w:rsid w:val="00652F55"/>
    <w:rsid w:val="00653477"/>
    <w:rsid w:val="00653EF3"/>
    <w:rsid w:val="00654804"/>
    <w:rsid w:val="00654A3C"/>
    <w:rsid w:val="006559D7"/>
    <w:rsid w:val="00655D5A"/>
    <w:rsid w:val="006567EC"/>
    <w:rsid w:val="006600D6"/>
    <w:rsid w:val="006628FE"/>
    <w:rsid w:val="00662FE5"/>
    <w:rsid w:val="00663384"/>
    <w:rsid w:val="00663A15"/>
    <w:rsid w:val="0066425E"/>
    <w:rsid w:val="00664C9E"/>
    <w:rsid w:val="00665D71"/>
    <w:rsid w:val="006666FC"/>
    <w:rsid w:val="006673B8"/>
    <w:rsid w:val="00667BD3"/>
    <w:rsid w:val="0067023B"/>
    <w:rsid w:val="00671019"/>
    <w:rsid w:val="006716BE"/>
    <w:rsid w:val="006717E9"/>
    <w:rsid w:val="0067210F"/>
    <w:rsid w:val="00672489"/>
    <w:rsid w:val="00672ED8"/>
    <w:rsid w:val="0067550C"/>
    <w:rsid w:val="00675ED8"/>
    <w:rsid w:val="0067610C"/>
    <w:rsid w:val="00676711"/>
    <w:rsid w:val="00676A00"/>
    <w:rsid w:val="00676B0E"/>
    <w:rsid w:val="00676E2B"/>
    <w:rsid w:val="00677145"/>
    <w:rsid w:val="00677770"/>
    <w:rsid w:val="0067784A"/>
    <w:rsid w:val="00677B02"/>
    <w:rsid w:val="00680185"/>
    <w:rsid w:val="00680A66"/>
    <w:rsid w:val="00681A32"/>
    <w:rsid w:val="0068451C"/>
    <w:rsid w:val="00684630"/>
    <w:rsid w:val="006849DA"/>
    <w:rsid w:val="00685276"/>
    <w:rsid w:val="006859E5"/>
    <w:rsid w:val="00686366"/>
    <w:rsid w:val="006865FB"/>
    <w:rsid w:val="00687F04"/>
    <w:rsid w:val="00690D84"/>
    <w:rsid w:val="00692710"/>
    <w:rsid w:val="00697555"/>
    <w:rsid w:val="006A08E6"/>
    <w:rsid w:val="006A1479"/>
    <w:rsid w:val="006A23BB"/>
    <w:rsid w:val="006A3EFE"/>
    <w:rsid w:val="006A4309"/>
    <w:rsid w:val="006A4DC2"/>
    <w:rsid w:val="006A6D0F"/>
    <w:rsid w:val="006A6E6F"/>
    <w:rsid w:val="006B301D"/>
    <w:rsid w:val="006B49A4"/>
    <w:rsid w:val="006B507E"/>
    <w:rsid w:val="006B5300"/>
    <w:rsid w:val="006B5A24"/>
    <w:rsid w:val="006B6B25"/>
    <w:rsid w:val="006B7E5D"/>
    <w:rsid w:val="006C0848"/>
    <w:rsid w:val="006C15B9"/>
    <w:rsid w:val="006C1F6A"/>
    <w:rsid w:val="006C2CF4"/>
    <w:rsid w:val="006C38CC"/>
    <w:rsid w:val="006C41F1"/>
    <w:rsid w:val="006C4357"/>
    <w:rsid w:val="006C4463"/>
    <w:rsid w:val="006C5023"/>
    <w:rsid w:val="006D087B"/>
    <w:rsid w:val="006D2980"/>
    <w:rsid w:val="006D45B5"/>
    <w:rsid w:val="006D49B2"/>
    <w:rsid w:val="006D6793"/>
    <w:rsid w:val="006D695A"/>
    <w:rsid w:val="006D6A29"/>
    <w:rsid w:val="006D702F"/>
    <w:rsid w:val="006D7B1B"/>
    <w:rsid w:val="006E007D"/>
    <w:rsid w:val="006E1DE1"/>
    <w:rsid w:val="006E1ED8"/>
    <w:rsid w:val="006E2DEF"/>
    <w:rsid w:val="006E2FD1"/>
    <w:rsid w:val="006E33BF"/>
    <w:rsid w:val="006E34E4"/>
    <w:rsid w:val="006E3714"/>
    <w:rsid w:val="006E4D5A"/>
    <w:rsid w:val="006E6CB0"/>
    <w:rsid w:val="006E779A"/>
    <w:rsid w:val="006F22FF"/>
    <w:rsid w:val="006F2D36"/>
    <w:rsid w:val="006F3827"/>
    <w:rsid w:val="006F38EF"/>
    <w:rsid w:val="006F3B2D"/>
    <w:rsid w:val="006F5981"/>
    <w:rsid w:val="006F6D4A"/>
    <w:rsid w:val="006F7672"/>
    <w:rsid w:val="007014D2"/>
    <w:rsid w:val="00701501"/>
    <w:rsid w:val="007021E1"/>
    <w:rsid w:val="00702915"/>
    <w:rsid w:val="0070322F"/>
    <w:rsid w:val="00704534"/>
    <w:rsid w:val="0070545E"/>
    <w:rsid w:val="00706B18"/>
    <w:rsid w:val="00707FFB"/>
    <w:rsid w:val="00710394"/>
    <w:rsid w:val="00710F52"/>
    <w:rsid w:val="007112CD"/>
    <w:rsid w:val="0071283D"/>
    <w:rsid w:val="007136C9"/>
    <w:rsid w:val="007141F4"/>
    <w:rsid w:val="00714B18"/>
    <w:rsid w:val="00715C77"/>
    <w:rsid w:val="00716C61"/>
    <w:rsid w:val="00721576"/>
    <w:rsid w:val="007222F0"/>
    <w:rsid w:val="007226EF"/>
    <w:rsid w:val="00723288"/>
    <w:rsid w:val="007239D3"/>
    <w:rsid w:val="00725671"/>
    <w:rsid w:val="0072768F"/>
    <w:rsid w:val="00730A4A"/>
    <w:rsid w:val="00730E33"/>
    <w:rsid w:val="007311C2"/>
    <w:rsid w:val="007314FD"/>
    <w:rsid w:val="00732509"/>
    <w:rsid w:val="007345D8"/>
    <w:rsid w:val="00737269"/>
    <w:rsid w:val="007426C0"/>
    <w:rsid w:val="007442AD"/>
    <w:rsid w:val="007459FE"/>
    <w:rsid w:val="00747EA4"/>
    <w:rsid w:val="00750636"/>
    <w:rsid w:val="00752009"/>
    <w:rsid w:val="0075550C"/>
    <w:rsid w:val="00756501"/>
    <w:rsid w:val="0075680A"/>
    <w:rsid w:val="0075720E"/>
    <w:rsid w:val="007603F7"/>
    <w:rsid w:val="00762C7D"/>
    <w:rsid w:val="007634BF"/>
    <w:rsid w:val="00763C7E"/>
    <w:rsid w:val="00763FDD"/>
    <w:rsid w:val="0076580E"/>
    <w:rsid w:val="007672BA"/>
    <w:rsid w:val="00767DAC"/>
    <w:rsid w:val="007702A3"/>
    <w:rsid w:val="0077079B"/>
    <w:rsid w:val="0077328C"/>
    <w:rsid w:val="007737D2"/>
    <w:rsid w:val="00773DA7"/>
    <w:rsid w:val="0077434C"/>
    <w:rsid w:val="00774527"/>
    <w:rsid w:val="00777194"/>
    <w:rsid w:val="0077796F"/>
    <w:rsid w:val="00780660"/>
    <w:rsid w:val="00781C05"/>
    <w:rsid w:val="00784877"/>
    <w:rsid w:val="0078582E"/>
    <w:rsid w:val="00785DD9"/>
    <w:rsid w:val="007906D2"/>
    <w:rsid w:val="007933F0"/>
    <w:rsid w:val="007947E6"/>
    <w:rsid w:val="007A0509"/>
    <w:rsid w:val="007A1CF8"/>
    <w:rsid w:val="007A1F8F"/>
    <w:rsid w:val="007A1FD7"/>
    <w:rsid w:val="007A2454"/>
    <w:rsid w:val="007A286F"/>
    <w:rsid w:val="007A3B6E"/>
    <w:rsid w:val="007A4D77"/>
    <w:rsid w:val="007A5762"/>
    <w:rsid w:val="007A626F"/>
    <w:rsid w:val="007A73F1"/>
    <w:rsid w:val="007B03F4"/>
    <w:rsid w:val="007B24E1"/>
    <w:rsid w:val="007B3FC0"/>
    <w:rsid w:val="007B4365"/>
    <w:rsid w:val="007B485E"/>
    <w:rsid w:val="007B498D"/>
    <w:rsid w:val="007B56EF"/>
    <w:rsid w:val="007B6153"/>
    <w:rsid w:val="007B669D"/>
    <w:rsid w:val="007C0A42"/>
    <w:rsid w:val="007C1133"/>
    <w:rsid w:val="007C1A0B"/>
    <w:rsid w:val="007C21BE"/>
    <w:rsid w:val="007C2307"/>
    <w:rsid w:val="007C2853"/>
    <w:rsid w:val="007C2B82"/>
    <w:rsid w:val="007C2FEB"/>
    <w:rsid w:val="007C3001"/>
    <w:rsid w:val="007C31D5"/>
    <w:rsid w:val="007C3C11"/>
    <w:rsid w:val="007C4CA4"/>
    <w:rsid w:val="007C4D31"/>
    <w:rsid w:val="007C679C"/>
    <w:rsid w:val="007C79FC"/>
    <w:rsid w:val="007C7B85"/>
    <w:rsid w:val="007D1B4D"/>
    <w:rsid w:val="007D1FD8"/>
    <w:rsid w:val="007D1FE3"/>
    <w:rsid w:val="007D2D6C"/>
    <w:rsid w:val="007D3909"/>
    <w:rsid w:val="007D4110"/>
    <w:rsid w:val="007D420F"/>
    <w:rsid w:val="007D563E"/>
    <w:rsid w:val="007D6F45"/>
    <w:rsid w:val="007D79E2"/>
    <w:rsid w:val="007E0145"/>
    <w:rsid w:val="007E0469"/>
    <w:rsid w:val="007E1851"/>
    <w:rsid w:val="007E24D7"/>
    <w:rsid w:val="007E2525"/>
    <w:rsid w:val="007E30E5"/>
    <w:rsid w:val="007E5B5A"/>
    <w:rsid w:val="007F01C0"/>
    <w:rsid w:val="007F1148"/>
    <w:rsid w:val="007F136D"/>
    <w:rsid w:val="007F1AEC"/>
    <w:rsid w:val="007F232B"/>
    <w:rsid w:val="007F305C"/>
    <w:rsid w:val="007F33ED"/>
    <w:rsid w:val="007F4584"/>
    <w:rsid w:val="007F4CBF"/>
    <w:rsid w:val="007F57AD"/>
    <w:rsid w:val="007F6570"/>
    <w:rsid w:val="00800C55"/>
    <w:rsid w:val="008030BE"/>
    <w:rsid w:val="008036D3"/>
    <w:rsid w:val="0080477A"/>
    <w:rsid w:val="008065BC"/>
    <w:rsid w:val="00807418"/>
    <w:rsid w:val="0080786B"/>
    <w:rsid w:val="00810310"/>
    <w:rsid w:val="00812ABB"/>
    <w:rsid w:val="00812AC4"/>
    <w:rsid w:val="00812BBB"/>
    <w:rsid w:val="0081373F"/>
    <w:rsid w:val="0081460C"/>
    <w:rsid w:val="00815C3F"/>
    <w:rsid w:val="0081634D"/>
    <w:rsid w:val="00817D5E"/>
    <w:rsid w:val="00823018"/>
    <w:rsid w:val="00823C94"/>
    <w:rsid w:val="00825F4E"/>
    <w:rsid w:val="0082661F"/>
    <w:rsid w:val="008268D8"/>
    <w:rsid w:val="008307E4"/>
    <w:rsid w:val="00831802"/>
    <w:rsid w:val="008330F9"/>
    <w:rsid w:val="00833134"/>
    <w:rsid w:val="00834410"/>
    <w:rsid w:val="0083671E"/>
    <w:rsid w:val="008367E1"/>
    <w:rsid w:val="00837084"/>
    <w:rsid w:val="00841486"/>
    <w:rsid w:val="00842EEF"/>
    <w:rsid w:val="00842FFD"/>
    <w:rsid w:val="00844E22"/>
    <w:rsid w:val="0085219B"/>
    <w:rsid w:val="0085616B"/>
    <w:rsid w:val="00856378"/>
    <w:rsid w:val="008563A3"/>
    <w:rsid w:val="0086072B"/>
    <w:rsid w:val="00861FD6"/>
    <w:rsid w:val="008639F0"/>
    <w:rsid w:val="0087170D"/>
    <w:rsid w:val="008727AF"/>
    <w:rsid w:val="00872F4D"/>
    <w:rsid w:val="008733B8"/>
    <w:rsid w:val="008747B6"/>
    <w:rsid w:val="00874DB8"/>
    <w:rsid w:val="008751EA"/>
    <w:rsid w:val="00875E60"/>
    <w:rsid w:val="00876C54"/>
    <w:rsid w:val="00880F1E"/>
    <w:rsid w:val="008825AD"/>
    <w:rsid w:val="0088508B"/>
    <w:rsid w:val="00890856"/>
    <w:rsid w:val="00890C10"/>
    <w:rsid w:val="00894DD9"/>
    <w:rsid w:val="0089533B"/>
    <w:rsid w:val="008953ED"/>
    <w:rsid w:val="0089574F"/>
    <w:rsid w:val="008958B1"/>
    <w:rsid w:val="00896D8E"/>
    <w:rsid w:val="008A07B9"/>
    <w:rsid w:val="008A1520"/>
    <w:rsid w:val="008A21C4"/>
    <w:rsid w:val="008A24B2"/>
    <w:rsid w:val="008A2C93"/>
    <w:rsid w:val="008A3DA3"/>
    <w:rsid w:val="008A446C"/>
    <w:rsid w:val="008A4D48"/>
    <w:rsid w:val="008A4F1E"/>
    <w:rsid w:val="008A7171"/>
    <w:rsid w:val="008B05CA"/>
    <w:rsid w:val="008B53AC"/>
    <w:rsid w:val="008B60D0"/>
    <w:rsid w:val="008B61DF"/>
    <w:rsid w:val="008B70F5"/>
    <w:rsid w:val="008B78B2"/>
    <w:rsid w:val="008C0076"/>
    <w:rsid w:val="008C03A4"/>
    <w:rsid w:val="008C0A55"/>
    <w:rsid w:val="008C1F80"/>
    <w:rsid w:val="008C41EA"/>
    <w:rsid w:val="008C4F57"/>
    <w:rsid w:val="008D118D"/>
    <w:rsid w:val="008D451A"/>
    <w:rsid w:val="008E1D44"/>
    <w:rsid w:val="008E2123"/>
    <w:rsid w:val="008E21C3"/>
    <w:rsid w:val="008E6277"/>
    <w:rsid w:val="008E6C42"/>
    <w:rsid w:val="008F2701"/>
    <w:rsid w:val="008F6A6E"/>
    <w:rsid w:val="008F7AD0"/>
    <w:rsid w:val="00900510"/>
    <w:rsid w:val="00901172"/>
    <w:rsid w:val="009017EC"/>
    <w:rsid w:val="009039A7"/>
    <w:rsid w:val="00904AE5"/>
    <w:rsid w:val="009055AB"/>
    <w:rsid w:val="009071B4"/>
    <w:rsid w:val="00907B24"/>
    <w:rsid w:val="00907C39"/>
    <w:rsid w:val="00910C15"/>
    <w:rsid w:val="0091466A"/>
    <w:rsid w:val="00914829"/>
    <w:rsid w:val="009159C9"/>
    <w:rsid w:val="00916602"/>
    <w:rsid w:val="00916E13"/>
    <w:rsid w:val="0091770D"/>
    <w:rsid w:val="0092063C"/>
    <w:rsid w:val="00920B3C"/>
    <w:rsid w:val="009214CB"/>
    <w:rsid w:val="009218DE"/>
    <w:rsid w:val="00921DB8"/>
    <w:rsid w:val="0092265A"/>
    <w:rsid w:val="009246ED"/>
    <w:rsid w:val="00924D3C"/>
    <w:rsid w:val="0092552D"/>
    <w:rsid w:val="0092638E"/>
    <w:rsid w:val="009274C8"/>
    <w:rsid w:val="00927724"/>
    <w:rsid w:val="00930D50"/>
    <w:rsid w:val="009313DC"/>
    <w:rsid w:val="00931E03"/>
    <w:rsid w:val="009338DD"/>
    <w:rsid w:val="00933C9C"/>
    <w:rsid w:val="00933F9A"/>
    <w:rsid w:val="00937265"/>
    <w:rsid w:val="009417B4"/>
    <w:rsid w:val="00943818"/>
    <w:rsid w:val="009446CF"/>
    <w:rsid w:val="00944B2A"/>
    <w:rsid w:val="009457BC"/>
    <w:rsid w:val="00945966"/>
    <w:rsid w:val="0095076D"/>
    <w:rsid w:val="00950B4B"/>
    <w:rsid w:val="00952B57"/>
    <w:rsid w:val="00952EA8"/>
    <w:rsid w:val="00954282"/>
    <w:rsid w:val="00957557"/>
    <w:rsid w:val="009575BB"/>
    <w:rsid w:val="0096045F"/>
    <w:rsid w:val="00960C5B"/>
    <w:rsid w:val="00961C57"/>
    <w:rsid w:val="00961C58"/>
    <w:rsid w:val="00961CB7"/>
    <w:rsid w:val="00962B40"/>
    <w:rsid w:val="00965399"/>
    <w:rsid w:val="00966056"/>
    <w:rsid w:val="0097031C"/>
    <w:rsid w:val="009704EE"/>
    <w:rsid w:val="00970971"/>
    <w:rsid w:val="009709AB"/>
    <w:rsid w:val="00970A69"/>
    <w:rsid w:val="00971BEA"/>
    <w:rsid w:val="00973F63"/>
    <w:rsid w:val="00974F52"/>
    <w:rsid w:val="009753D8"/>
    <w:rsid w:val="009757EE"/>
    <w:rsid w:val="009779E3"/>
    <w:rsid w:val="009812C4"/>
    <w:rsid w:val="009819F0"/>
    <w:rsid w:val="00983C7A"/>
    <w:rsid w:val="00984BCC"/>
    <w:rsid w:val="00985808"/>
    <w:rsid w:val="0098675D"/>
    <w:rsid w:val="00986AD9"/>
    <w:rsid w:val="00987474"/>
    <w:rsid w:val="00990384"/>
    <w:rsid w:val="00990A00"/>
    <w:rsid w:val="00990E1E"/>
    <w:rsid w:val="009910C7"/>
    <w:rsid w:val="00991510"/>
    <w:rsid w:val="00991E5C"/>
    <w:rsid w:val="009A0AE5"/>
    <w:rsid w:val="009A12CF"/>
    <w:rsid w:val="009A1F86"/>
    <w:rsid w:val="009A2678"/>
    <w:rsid w:val="009A3483"/>
    <w:rsid w:val="009A5263"/>
    <w:rsid w:val="009A5A27"/>
    <w:rsid w:val="009A79D5"/>
    <w:rsid w:val="009B20D3"/>
    <w:rsid w:val="009B3320"/>
    <w:rsid w:val="009B5C05"/>
    <w:rsid w:val="009B6E60"/>
    <w:rsid w:val="009B717C"/>
    <w:rsid w:val="009B7903"/>
    <w:rsid w:val="009B7FE6"/>
    <w:rsid w:val="009C0562"/>
    <w:rsid w:val="009C15EE"/>
    <w:rsid w:val="009C3314"/>
    <w:rsid w:val="009C3D14"/>
    <w:rsid w:val="009C413F"/>
    <w:rsid w:val="009C4B69"/>
    <w:rsid w:val="009C7615"/>
    <w:rsid w:val="009D02A1"/>
    <w:rsid w:val="009D02A5"/>
    <w:rsid w:val="009D10DD"/>
    <w:rsid w:val="009D12BF"/>
    <w:rsid w:val="009D149B"/>
    <w:rsid w:val="009D1C05"/>
    <w:rsid w:val="009D2482"/>
    <w:rsid w:val="009D37AD"/>
    <w:rsid w:val="009D3E75"/>
    <w:rsid w:val="009D453E"/>
    <w:rsid w:val="009D51AD"/>
    <w:rsid w:val="009D53E7"/>
    <w:rsid w:val="009D7BC9"/>
    <w:rsid w:val="009E2172"/>
    <w:rsid w:val="009E298C"/>
    <w:rsid w:val="009E29E9"/>
    <w:rsid w:val="009E38B9"/>
    <w:rsid w:val="009E4729"/>
    <w:rsid w:val="009E5EB0"/>
    <w:rsid w:val="009E651D"/>
    <w:rsid w:val="009E795C"/>
    <w:rsid w:val="009F1D6C"/>
    <w:rsid w:val="009F1F45"/>
    <w:rsid w:val="009F258F"/>
    <w:rsid w:val="009F2A4E"/>
    <w:rsid w:val="009F2F86"/>
    <w:rsid w:val="009F301B"/>
    <w:rsid w:val="009F387B"/>
    <w:rsid w:val="009F3A9C"/>
    <w:rsid w:val="009F47F0"/>
    <w:rsid w:val="009F538C"/>
    <w:rsid w:val="009F58B8"/>
    <w:rsid w:val="009F58E1"/>
    <w:rsid w:val="009F7D54"/>
    <w:rsid w:val="00A01DBC"/>
    <w:rsid w:val="00A01F49"/>
    <w:rsid w:val="00A025C2"/>
    <w:rsid w:val="00A0313C"/>
    <w:rsid w:val="00A04494"/>
    <w:rsid w:val="00A05197"/>
    <w:rsid w:val="00A07F22"/>
    <w:rsid w:val="00A10970"/>
    <w:rsid w:val="00A1103C"/>
    <w:rsid w:val="00A1482D"/>
    <w:rsid w:val="00A166E4"/>
    <w:rsid w:val="00A16D36"/>
    <w:rsid w:val="00A213B4"/>
    <w:rsid w:val="00A2186D"/>
    <w:rsid w:val="00A2224B"/>
    <w:rsid w:val="00A243CC"/>
    <w:rsid w:val="00A2440A"/>
    <w:rsid w:val="00A2447F"/>
    <w:rsid w:val="00A2497A"/>
    <w:rsid w:val="00A26011"/>
    <w:rsid w:val="00A26404"/>
    <w:rsid w:val="00A275BD"/>
    <w:rsid w:val="00A310C9"/>
    <w:rsid w:val="00A31385"/>
    <w:rsid w:val="00A32515"/>
    <w:rsid w:val="00A3291A"/>
    <w:rsid w:val="00A340D8"/>
    <w:rsid w:val="00A347A7"/>
    <w:rsid w:val="00A34AA2"/>
    <w:rsid w:val="00A34F71"/>
    <w:rsid w:val="00A35BDA"/>
    <w:rsid w:val="00A36863"/>
    <w:rsid w:val="00A37BBE"/>
    <w:rsid w:val="00A40AFE"/>
    <w:rsid w:val="00A44A41"/>
    <w:rsid w:val="00A44AB7"/>
    <w:rsid w:val="00A45A59"/>
    <w:rsid w:val="00A46169"/>
    <w:rsid w:val="00A47464"/>
    <w:rsid w:val="00A47AD8"/>
    <w:rsid w:val="00A47DB4"/>
    <w:rsid w:val="00A52D3D"/>
    <w:rsid w:val="00A5550F"/>
    <w:rsid w:val="00A5586F"/>
    <w:rsid w:val="00A55A3C"/>
    <w:rsid w:val="00A565DF"/>
    <w:rsid w:val="00A56652"/>
    <w:rsid w:val="00A5726E"/>
    <w:rsid w:val="00A57717"/>
    <w:rsid w:val="00A61963"/>
    <w:rsid w:val="00A62F16"/>
    <w:rsid w:val="00A64212"/>
    <w:rsid w:val="00A64E62"/>
    <w:rsid w:val="00A66DB7"/>
    <w:rsid w:val="00A67281"/>
    <w:rsid w:val="00A67842"/>
    <w:rsid w:val="00A67D5A"/>
    <w:rsid w:val="00A70486"/>
    <w:rsid w:val="00A71E30"/>
    <w:rsid w:val="00A72366"/>
    <w:rsid w:val="00A73843"/>
    <w:rsid w:val="00A74DA5"/>
    <w:rsid w:val="00A754A5"/>
    <w:rsid w:val="00A76489"/>
    <w:rsid w:val="00A776C7"/>
    <w:rsid w:val="00A778B5"/>
    <w:rsid w:val="00A80801"/>
    <w:rsid w:val="00A81AFD"/>
    <w:rsid w:val="00A821C4"/>
    <w:rsid w:val="00A8533F"/>
    <w:rsid w:val="00A85659"/>
    <w:rsid w:val="00A85E10"/>
    <w:rsid w:val="00A87807"/>
    <w:rsid w:val="00A87A58"/>
    <w:rsid w:val="00A87FC2"/>
    <w:rsid w:val="00A92119"/>
    <w:rsid w:val="00A956CF"/>
    <w:rsid w:val="00A95C63"/>
    <w:rsid w:val="00A970BD"/>
    <w:rsid w:val="00AA0760"/>
    <w:rsid w:val="00AA0765"/>
    <w:rsid w:val="00AA0A7C"/>
    <w:rsid w:val="00AA2773"/>
    <w:rsid w:val="00AA292F"/>
    <w:rsid w:val="00AA2C40"/>
    <w:rsid w:val="00AA6B57"/>
    <w:rsid w:val="00AB00EA"/>
    <w:rsid w:val="00AB073F"/>
    <w:rsid w:val="00AB09DF"/>
    <w:rsid w:val="00AB1AAC"/>
    <w:rsid w:val="00AB1BEF"/>
    <w:rsid w:val="00AB2D74"/>
    <w:rsid w:val="00AB3F0A"/>
    <w:rsid w:val="00AB63AB"/>
    <w:rsid w:val="00AB71F7"/>
    <w:rsid w:val="00AB75D6"/>
    <w:rsid w:val="00AC06DE"/>
    <w:rsid w:val="00AC18CE"/>
    <w:rsid w:val="00AC458A"/>
    <w:rsid w:val="00AC5723"/>
    <w:rsid w:val="00AC6647"/>
    <w:rsid w:val="00AD16F2"/>
    <w:rsid w:val="00AD2199"/>
    <w:rsid w:val="00AD264E"/>
    <w:rsid w:val="00AD5939"/>
    <w:rsid w:val="00AD6472"/>
    <w:rsid w:val="00AE1FDE"/>
    <w:rsid w:val="00AE3379"/>
    <w:rsid w:val="00AE47D8"/>
    <w:rsid w:val="00AE4EAC"/>
    <w:rsid w:val="00AE51F8"/>
    <w:rsid w:val="00AE6B17"/>
    <w:rsid w:val="00AF1621"/>
    <w:rsid w:val="00AF62EC"/>
    <w:rsid w:val="00B00132"/>
    <w:rsid w:val="00B005D2"/>
    <w:rsid w:val="00B011C1"/>
    <w:rsid w:val="00B01305"/>
    <w:rsid w:val="00B01977"/>
    <w:rsid w:val="00B037A1"/>
    <w:rsid w:val="00B048AB"/>
    <w:rsid w:val="00B0521F"/>
    <w:rsid w:val="00B05531"/>
    <w:rsid w:val="00B11E38"/>
    <w:rsid w:val="00B126D1"/>
    <w:rsid w:val="00B12942"/>
    <w:rsid w:val="00B2181E"/>
    <w:rsid w:val="00B229DB"/>
    <w:rsid w:val="00B22B15"/>
    <w:rsid w:val="00B233DC"/>
    <w:rsid w:val="00B234D4"/>
    <w:rsid w:val="00B24164"/>
    <w:rsid w:val="00B25F05"/>
    <w:rsid w:val="00B26B93"/>
    <w:rsid w:val="00B27848"/>
    <w:rsid w:val="00B3026E"/>
    <w:rsid w:val="00B307B1"/>
    <w:rsid w:val="00B3300E"/>
    <w:rsid w:val="00B33FA1"/>
    <w:rsid w:val="00B35993"/>
    <w:rsid w:val="00B4050D"/>
    <w:rsid w:val="00B42403"/>
    <w:rsid w:val="00B42DAD"/>
    <w:rsid w:val="00B4764A"/>
    <w:rsid w:val="00B47F6E"/>
    <w:rsid w:val="00B5097E"/>
    <w:rsid w:val="00B50BF9"/>
    <w:rsid w:val="00B515DD"/>
    <w:rsid w:val="00B52321"/>
    <w:rsid w:val="00B56937"/>
    <w:rsid w:val="00B569C7"/>
    <w:rsid w:val="00B62BE4"/>
    <w:rsid w:val="00B63F53"/>
    <w:rsid w:val="00B65363"/>
    <w:rsid w:val="00B6639E"/>
    <w:rsid w:val="00B665B9"/>
    <w:rsid w:val="00B66A45"/>
    <w:rsid w:val="00B701F8"/>
    <w:rsid w:val="00B71DC2"/>
    <w:rsid w:val="00B720AF"/>
    <w:rsid w:val="00B7266A"/>
    <w:rsid w:val="00B7361A"/>
    <w:rsid w:val="00B7558F"/>
    <w:rsid w:val="00B7583E"/>
    <w:rsid w:val="00B75D8A"/>
    <w:rsid w:val="00B81B1D"/>
    <w:rsid w:val="00B81F4E"/>
    <w:rsid w:val="00B84C89"/>
    <w:rsid w:val="00B9077E"/>
    <w:rsid w:val="00B90F4C"/>
    <w:rsid w:val="00B913ED"/>
    <w:rsid w:val="00B916B8"/>
    <w:rsid w:val="00B92B18"/>
    <w:rsid w:val="00B93BB4"/>
    <w:rsid w:val="00B943F6"/>
    <w:rsid w:val="00B95E18"/>
    <w:rsid w:val="00B96E14"/>
    <w:rsid w:val="00B96FF3"/>
    <w:rsid w:val="00B975FD"/>
    <w:rsid w:val="00BA006B"/>
    <w:rsid w:val="00BA1BE5"/>
    <w:rsid w:val="00BA7E17"/>
    <w:rsid w:val="00BB1D84"/>
    <w:rsid w:val="00BB1FDC"/>
    <w:rsid w:val="00BB4B66"/>
    <w:rsid w:val="00BC0301"/>
    <w:rsid w:val="00BC0546"/>
    <w:rsid w:val="00BC16F8"/>
    <w:rsid w:val="00BC3D7B"/>
    <w:rsid w:val="00BC5E74"/>
    <w:rsid w:val="00BC7EAF"/>
    <w:rsid w:val="00BC7FBE"/>
    <w:rsid w:val="00BD0F0E"/>
    <w:rsid w:val="00BD198A"/>
    <w:rsid w:val="00BD243A"/>
    <w:rsid w:val="00BD452B"/>
    <w:rsid w:val="00BD4708"/>
    <w:rsid w:val="00BD4A5F"/>
    <w:rsid w:val="00BD4DFE"/>
    <w:rsid w:val="00BE02D4"/>
    <w:rsid w:val="00BE119E"/>
    <w:rsid w:val="00BE39ED"/>
    <w:rsid w:val="00BE3E7B"/>
    <w:rsid w:val="00BE469F"/>
    <w:rsid w:val="00BE566D"/>
    <w:rsid w:val="00BE5A22"/>
    <w:rsid w:val="00BF1137"/>
    <w:rsid w:val="00BF293E"/>
    <w:rsid w:val="00BF3445"/>
    <w:rsid w:val="00BF4B3A"/>
    <w:rsid w:val="00BF5F19"/>
    <w:rsid w:val="00BF707A"/>
    <w:rsid w:val="00BF78AF"/>
    <w:rsid w:val="00C0246F"/>
    <w:rsid w:val="00C02D58"/>
    <w:rsid w:val="00C04631"/>
    <w:rsid w:val="00C058CF"/>
    <w:rsid w:val="00C05973"/>
    <w:rsid w:val="00C06C35"/>
    <w:rsid w:val="00C06F62"/>
    <w:rsid w:val="00C0788D"/>
    <w:rsid w:val="00C07949"/>
    <w:rsid w:val="00C11045"/>
    <w:rsid w:val="00C12612"/>
    <w:rsid w:val="00C134A3"/>
    <w:rsid w:val="00C1443A"/>
    <w:rsid w:val="00C15100"/>
    <w:rsid w:val="00C15871"/>
    <w:rsid w:val="00C159C9"/>
    <w:rsid w:val="00C15A23"/>
    <w:rsid w:val="00C179A0"/>
    <w:rsid w:val="00C21A7B"/>
    <w:rsid w:val="00C22046"/>
    <w:rsid w:val="00C23916"/>
    <w:rsid w:val="00C23B40"/>
    <w:rsid w:val="00C24F00"/>
    <w:rsid w:val="00C2662E"/>
    <w:rsid w:val="00C27243"/>
    <w:rsid w:val="00C30982"/>
    <w:rsid w:val="00C323ED"/>
    <w:rsid w:val="00C329F3"/>
    <w:rsid w:val="00C33A4C"/>
    <w:rsid w:val="00C341DD"/>
    <w:rsid w:val="00C344EE"/>
    <w:rsid w:val="00C35456"/>
    <w:rsid w:val="00C35882"/>
    <w:rsid w:val="00C35FF1"/>
    <w:rsid w:val="00C36040"/>
    <w:rsid w:val="00C36389"/>
    <w:rsid w:val="00C40725"/>
    <w:rsid w:val="00C40901"/>
    <w:rsid w:val="00C419C6"/>
    <w:rsid w:val="00C42679"/>
    <w:rsid w:val="00C42ACA"/>
    <w:rsid w:val="00C44340"/>
    <w:rsid w:val="00C44402"/>
    <w:rsid w:val="00C45CCC"/>
    <w:rsid w:val="00C543EF"/>
    <w:rsid w:val="00C54583"/>
    <w:rsid w:val="00C54FD4"/>
    <w:rsid w:val="00C5690F"/>
    <w:rsid w:val="00C60EA5"/>
    <w:rsid w:val="00C614BD"/>
    <w:rsid w:val="00C62F1E"/>
    <w:rsid w:val="00C65D1E"/>
    <w:rsid w:val="00C66B7C"/>
    <w:rsid w:val="00C707B5"/>
    <w:rsid w:val="00C721A6"/>
    <w:rsid w:val="00C741A3"/>
    <w:rsid w:val="00C7606B"/>
    <w:rsid w:val="00C81C04"/>
    <w:rsid w:val="00C82072"/>
    <w:rsid w:val="00C826EF"/>
    <w:rsid w:val="00C82A57"/>
    <w:rsid w:val="00C84A5C"/>
    <w:rsid w:val="00C84C49"/>
    <w:rsid w:val="00C84DFE"/>
    <w:rsid w:val="00C85153"/>
    <w:rsid w:val="00C851A4"/>
    <w:rsid w:val="00C85846"/>
    <w:rsid w:val="00C85F4F"/>
    <w:rsid w:val="00C866D0"/>
    <w:rsid w:val="00C87AEC"/>
    <w:rsid w:val="00C87F41"/>
    <w:rsid w:val="00C92635"/>
    <w:rsid w:val="00C92A54"/>
    <w:rsid w:val="00C92FE2"/>
    <w:rsid w:val="00C933E6"/>
    <w:rsid w:val="00C94E05"/>
    <w:rsid w:val="00CA1AD7"/>
    <w:rsid w:val="00CA33A3"/>
    <w:rsid w:val="00CA4B92"/>
    <w:rsid w:val="00CA5BC5"/>
    <w:rsid w:val="00CA5C8B"/>
    <w:rsid w:val="00CA7455"/>
    <w:rsid w:val="00CB0AA3"/>
    <w:rsid w:val="00CB1BE9"/>
    <w:rsid w:val="00CB2363"/>
    <w:rsid w:val="00CB295F"/>
    <w:rsid w:val="00CB3E53"/>
    <w:rsid w:val="00CB63AD"/>
    <w:rsid w:val="00CB6E5A"/>
    <w:rsid w:val="00CB7B92"/>
    <w:rsid w:val="00CC19B8"/>
    <w:rsid w:val="00CC4737"/>
    <w:rsid w:val="00CC57B0"/>
    <w:rsid w:val="00CC60E6"/>
    <w:rsid w:val="00CD08B9"/>
    <w:rsid w:val="00CD352E"/>
    <w:rsid w:val="00CD364D"/>
    <w:rsid w:val="00CD5D96"/>
    <w:rsid w:val="00CD6550"/>
    <w:rsid w:val="00CD7C42"/>
    <w:rsid w:val="00CE0195"/>
    <w:rsid w:val="00CE24EA"/>
    <w:rsid w:val="00CE2A46"/>
    <w:rsid w:val="00CE2C48"/>
    <w:rsid w:val="00CE3AC4"/>
    <w:rsid w:val="00CE6566"/>
    <w:rsid w:val="00CE67B3"/>
    <w:rsid w:val="00CE7CFF"/>
    <w:rsid w:val="00CF02A2"/>
    <w:rsid w:val="00CF0932"/>
    <w:rsid w:val="00CF19E7"/>
    <w:rsid w:val="00CF1B9B"/>
    <w:rsid w:val="00CF2DA0"/>
    <w:rsid w:val="00CF2F06"/>
    <w:rsid w:val="00CF38AD"/>
    <w:rsid w:val="00CF40D8"/>
    <w:rsid w:val="00CF410C"/>
    <w:rsid w:val="00CF4FE1"/>
    <w:rsid w:val="00CF73ED"/>
    <w:rsid w:val="00CF786E"/>
    <w:rsid w:val="00D0100C"/>
    <w:rsid w:val="00D020B7"/>
    <w:rsid w:val="00D02C25"/>
    <w:rsid w:val="00D03076"/>
    <w:rsid w:val="00D03E8E"/>
    <w:rsid w:val="00D05497"/>
    <w:rsid w:val="00D05E04"/>
    <w:rsid w:val="00D06E14"/>
    <w:rsid w:val="00D1011B"/>
    <w:rsid w:val="00D10586"/>
    <w:rsid w:val="00D11752"/>
    <w:rsid w:val="00D119C8"/>
    <w:rsid w:val="00D14359"/>
    <w:rsid w:val="00D147BE"/>
    <w:rsid w:val="00D153CC"/>
    <w:rsid w:val="00D15C1A"/>
    <w:rsid w:val="00D17D6B"/>
    <w:rsid w:val="00D215BA"/>
    <w:rsid w:val="00D21A1E"/>
    <w:rsid w:val="00D228EF"/>
    <w:rsid w:val="00D22C81"/>
    <w:rsid w:val="00D22DEB"/>
    <w:rsid w:val="00D23E6A"/>
    <w:rsid w:val="00D241D9"/>
    <w:rsid w:val="00D2456E"/>
    <w:rsid w:val="00D24C00"/>
    <w:rsid w:val="00D262A5"/>
    <w:rsid w:val="00D2693C"/>
    <w:rsid w:val="00D272F3"/>
    <w:rsid w:val="00D304C3"/>
    <w:rsid w:val="00D30E9F"/>
    <w:rsid w:val="00D31C57"/>
    <w:rsid w:val="00D32782"/>
    <w:rsid w:val="00D33CCF"/>
    <w:rsid w:val="00D34350"/>
    <w:rsid w:val="00D36382"/>
    <w:rsid w:val="00D47C97"/>
    <w:rsid w:val="00D517AD"/>
    <w:rsid w:val="00D53817"/>
    <w:rsid w:val="00D55FD3"/>
    <w:rsid w:val="00D56360"/>
    <w:rsid w:val="00D5670C"/>
    <w:rsid w:val="00D57384"/>
    <w:rsid w:val="00D60D32"/>
    <w:rsid w:val="00D60E1E"/>
    <w:rsid w:val="00D615CD"/>
    <w:rsid w:val="00D61CCB"/>
    <w:rsid w:val="00D6432B"/>
    <w:rsid w:val="00D6499E"/>
    <w:rsid w:val="00D65212"/>
    <w:rsid w:val="00D66790"/>
    <w:rsid w:val="00D67A37"/>
    <w:rsid w:val="00D71801"/>
    <w:rsid w:val="00D74A6B"/>
    <w:rsid w:val="00D77814"/>
    <w:rsid w:val="00D81207"/>
    <w:rsid w:val="00D8176D"/>
    <w:rsid w:val="00D8535F"/>
    <w:rsid w:val="00D85DF2"/>
    <w:rsid w:val="00D86ECE"/>
    <w:rsid w:val="00D8790A"/>
    <w:rsid w:val="00D87E5D"/>
    <w:rsid w:val="00D87FBF"/>
    <w:rsid w:val="00D9020C"/>
    <w:rsid w:val="00D90443"/>
    <w:rsid w:val="00D9075C"/>
    <w:rsid w:val="00D91EFA"/>
    <w:rsid w:val="00D9330A"/>
    <w:rsid w:val="00D937EE"/>
    <w:rsid w:val="00D93C3B"/>
    <w:rsid w:val="00D94015"/>
    <w:rsid w:val="00D9674E"/>
    <w:rsid w:val="00DA1022"/>
    <w:rsid w:val="00DA17B2"/>
    <w:rsid w:val="00DA19D3"/>
    <w:rsid w:val="00DA2A9C"/>
    <w:rsid w:val="00DA2D1D"/>
    <w:rsid w:val="00DA366D"/>
    <w:rsid w:val="00DA375D"/>
    <w:rsid w:val="00DA3F46"/>
    <w:rsid w:val="00DA42C0"/>
    <w:rsid w:val="00DA5D74"/>
    <w:rsid w:val="00DA6444"/>
    <w:rsid w:val="00DA7198"/>
    <w:rsid w:val="00DB052B"/>
    <w:rsid w:val="00DB1F34"/>
    <w:rsid w:val="00DB2052"/>
    <w:rsid w:val="00DB22CB"/>
    <w:rsid w:val="00DB3F23"/>
    <w:rsid w:val="00DB409C"/>
    <w:rsid w:val="00DB566E"/>
    <w:rsid w:val="00DB6449"/>
    <w:rsid w:val="00DB68D8"/>
    <w:rsid w:val="00DB78EE"/>
    <w:rsid w:val="00DB7B8A"/>
    <w:rsid w:val="00DB7D63"/>
    <w:rsid w:val="00DC0DC7"/>
    <w:rsid w:val="00DC3179"/>
    <w:rsid w:val="00DC3262"/>
    <w:rsid w:val="00DC52F9"/>
    <w:rsid w:val="00DC6222"/>
    <w:rsid w:val="00DC6295"/>
    <w:rsid w:val="00DC679F"/>
    <w:rsid w:val="00DC7340"/>
    <w:rsid w:val="00DC7A7F"/>
    <w:rsid w:val="00DC7D93"/>
    <w:rsid w:val="00DD11E0"/>
    <w:rsid w:val="00DD2F11"/>
    <w:rsid w:val="00DD450B"/>
    <w:rsid w:val="00DE0805"/>
    <w:rsid w:val="00DE0A34"/>
    <w:rsid w:val="00DE2C6D"/>
    <w:rsid w:val="00DE41EE"/>
    <w:rsid w:val="00DE55AC"/>
    <w:rsid w:val="00DE5A0B"/>
    <w:rsid w:val="00DE5E37"/>
    <w:rsid w:val="00DE790C"/>
    <w:rsid w:val="00DF0947"/>
    <w:rsid w:val="00DF16CB"/>
    <w:rsid w:val="00DF29E6"/>
    <w:rsid w:val="00DF57E8"/>
    <w:rsid w:val="00DF7266"/>
    <w:rsid w:val="00E0066A"/>
    <w:rsid w:val="00E00DE8"/>
    <w:rsid w:val="00E00FAD"/>
    <w:rsid w:val="00E01323"/>
    <w:rsid w:val="00E0276E"/>
    <w:rsid w:val="00E02818"/>
    <w:rsid w:val="00E05B25"/>
    <w:rsid w:val="00E05F9C"/>
    <w:rsid w:val="00E06904"/>
    <w:rsid w:val="00E069D8"/>
    <w:rsid w:val="00E074B0"/>
    <w:rsid w:val="00E11962"/>
    <w:rsid w:val="00E16213"/>
    <w:rsid w:val="00E17D97"/>
    <w:rsid w:val="00E20954"/>
    <w:rsid w:val="00E21116"/>
    <w:rsid w:val="00E21348"/>
    <w:rsid w:val="00E218CB"/>
    <w:rsid w:val="00E21D60"/>
    <w:rsid w:val="00E24411"/>
    <w:rsid w:val="00E24D42"/>
    <w:rsid w:val="00E255CE"/>
    <w:rsid w:val="00E25E41"/>
    <w:rsid w:val="00E2647E"/>
    <w:rsid w:val="00E26EA5"/>
    <w:rsid w:val="00E27BCF"/>
    <w:rsid w:val="00E30168"/>
    <w:rsid w:val="00E3087B"/>
    <w:rsid w:val="00E30BCE"/>
    <w:rsid w:val="00E33676"/>
    <w:rsid w:val="00E3431A"/>
    <w:rsid w:val="00E34C19"/>
    <w:rsid w:val="00E37C65"/>
    <w:rsid w:val="00E41461"/>
    <w:rsid w:val="00E42238"/>
    <w:rsid w:val="00E427D7"/>
    <w:rsid w:val="00E436EF"/>
    <w:rsid w:val="00E438C0"/>
    <w:rsid w:val="00E45A06"/>
    <w:rsid w:val="00E45FD8"/>
    <w:rsid w:val="00E46E69"/>
    <w:rsid w:val="00E4784E"/>
    <w:rsid w:val="00E5352F"/>
    <w:rsid w:val="00E548A1"/>
    <w:rsid w:val="00E60A6F"/>
    <w:rsid w:val="00E61977"/>
    <w:rsid w:val="00E623A8"/>
    <w:rsid w:val="00E633DD"/>
    <w:rsid w:val="00E6475B"/>
    <w:rsid w:val="00E65A66"/>
    <w:rsid w:val="00E6722B"/>
    <w:rsid w:val="00E7281E"/>
    <w:rsid w:val="00E729B4"/>
    <w:rsid w:val="00E73463"/>
    <w:rsid w:val="00E74C91"/>
    <w:rsid w:val="00E75083"/>
    <w:rsid w:val="00E751B0"/>
    <w:rsid w:val="00E75B1F"/>
    <w:rsid w:val="00E76B6E"/>
    <w:rsid w:val="00E776F4"/>
    <w:rsid w:val="00E8085C"/>
    <w:rsid w:val="00E8086F"/>
    <w:rsid w:val="00E823BD"/>
    <w:rsid w:val="00E83788"/>
    <w:rsid w:val="00E83DFA"/>
    <w:rsid w:val="00E865C6"/>
    <w:rsid w:val="00E86779"/>
    <w:rsid w:val="00E874EF"/>
    <w:rsid w:val="00E911CC"/>
    <w:rsid w:val="00E91322"/>
    <w:rsid w:val="00E917A3"/>
    <w:rsid w:val="00E9180F"/>
    <w:rsid w:val="00E9284E"/>
    <w:rsid w:val="00E92B37"/>
    <w:rsid w:val="00E93CC0"/>
    <w:rsid w:val="00E93DC0"/>
    <w:rsid w:val="00E95F02"/>
    <w:rsid w:val="00EA394F"/>
    <w:rsid w:val="00EA48EE"/>
    <w:rsid w:val="00EA54CF"/>
    <w:rsid w:val="00EA5700"/>
    <w:rsid w:val="00EA5A0A"/>
    <w:rsid w:val="00EA79F0"/>
    <w:rsid w:val="00EB15DC"/>
    <w:rsid w:val="00EB4F04"/>
    <w:rsid w:val="00EB56FF"/>
    <w:rsid w:val="00EB5E51"/>
    <w:rsid w:val="00EB6CCB"/>
    <w:rsid w:val="00EB6D46"/>
    <w:rsid w:val="00EB7024"/>
    <w:rsid w:val="00EC074D"/>
    <w:rsid w:val="00EC08F4"/>
    <w:rsid w:val="00EC1E22"/>
    <w:rsid w:val="00EC24B6"/>
    <w:rsid w:val="00EC2D50"/>
    <w:rsid w:val="00EC3E5F"/>
    <w:rsid w:val="00EC5425"/>
    <w:rsid w:val="00EC780D"/>
    <w:rsid w:val="00EC7F33"/>
    <w:rsid w:val="00EC7F63"/>
    <w:rsid w:val="00ED37C2"/>
    <w:rsid w:val="00ED3F5C"/>
    <w:rsid w:val="00ED3FC6"/>
    <w:rsid w:val="00ED436B"/>
    <w:rsid w:val="00ED7C44"/>
    <w:rsid w:val="00EE20E4"/>
    <w:rsid w:val="00EE2714"/>
    <w:rsid w:val="00EE2A80"/>
    <w:rsid w:val="00EE3BE8"/>
    <w:rsid w:val="00EE5052"/>
    <w:rsid w:val="00EE5419"/>
    <w:rsid w:val="00EE5518"/>
    <w:rsid w:val="00EE75C3"/>
    <w:rsid w:val="00EE7EF7"/>
    <w:rsid w:val="00EF0FA5"/>
    <w:rsid w:val="00EF56BE"/>
    <w:rsid w:val="00EF68D1"/>
    <w:rsid w:val="00EF7530"/>
    <w:rsid w:val="00F010DF"/>
    <w:rsid w:val="00F023F9"/>
    <w:rsid w:val="00F03329"/>
    <w:rsid w:val="00F03374"/>
    <w:rsid w:val="00F0339B"/>
    <w:rsid w:val="00F03A30"/>
    <w:rsid w:val="00F043DA"/>
    <w:rsid w:val="00F04B29"/>
    <w:rsid w:val="00F0700B"/>
    <w:rsid w:val="00F072A3"/>
    <w:rsid w:val="00F100FD"/>
    <w:rsid w:val="00F10210"/>
    <w:rsid w:val="00F108DB"/>
    <w:rsid w:val="00F10A98"/>
    <w:rsid w:val="00F118A3"/>
    <w:rsid w:val="00F11A22"/>
    <w:rsid w:val="00F14B71"/>
    <w:rsid w:val="00F154D3"/>
    <w:rsid w:val="00F15590"/>
    <w:rsid w:val="00F158AD"/>
    <w:rsid w:val="00F159AF"/>
    <w:rsid w:val="00F22E32"/>
    <w:rsid w:val="00F22F3B"/>
    <w:rsid w:val="00F23E2C"/>
    <w:rsid w:val="00F24CC6"/>
    <w:rsid w:val="00F24F2F"/>
    <w:rsid w:val="00F25FB8"/>
    <w:rsid w:val="00F26BCF"/>
    <w:rsid w:val="00F26EC3"/>
    <w:rsid w:val="00F279FE"/>
    <w:rsid w:val="00F30FF2"/>
    <w:rsid w:val="00F316A9"/>
    <w:rsid w:val="00F320A3"/>
    <w:rsid w:val="00F32612"/>
    <w:rsid w:val="00F3308E"/>
    <w:rsid w:val="00F33B6E"/>
    <w:rsid w:val="00F340EE"/>
    <w:rsid w:val="00F343C4"/>
    <w:rsid w:val="00F35320"/>
    <w:rsid w:val="00F3706A"/>
    <w:rsid w:val="00F37118"/>
    <w:rsid w:val="00F37DEC"/>
    <w:rsid w:val="00F40622"/>
    <w:rsid w:val="00F41AEA"/>
    <w:rsid w:val="00F42174"/>
    <w:rsid w:val="00F4235C"/>
    <w:rsid w:val="00F4281E"/>
    <w:rsid w:val="00F43BD0"/>
    <w:rsid w:val="00F43E31"/>
    <w:rsid w:val="00F45211"/>
    <w:rsid w:val="00F45BFD"/>
    <w:rsid w:val="00F45C19"/>
    <w:rsid w:val="00F467D5"/>
    <w:rsid w:val="00F47644"/>
    <w:rsid w:val="00F47FE7"/>
    <w:rsid w:val="00F50C22"/>
    <w:rsid w:val="00F510E5"/>
    <w:rsid w:val="00F51DA5"/>
    <w:rsid w:val="00F52349"/>
    <w:rsid w:val="00F5254B"/>
    <w:rsid w:val="00F54642"/>
    <w:rsid w:val="00F55793"/>
    <w:rsid w:val="00F55C6A"/>
    <w:rsid w:val="00F55E11"/>
    <w:rsid w:val="00F55EA5"/>
    <w:rsid w:val="00F5703A"/>
    <w:rsid w:val="00F60318"/>
    <w:rsid w:val="00F628B9"/>
    <w:rsid w:val="00F632C0"/>
    <w:rsid w:val="00F6454B"/>
    <w:rsid w:val="00F64AA8"/>
    <w:rsid w:val="00F64E25"/>
    <w:rsid w:val="00F65694"/>
    <w:rsid w:val="00F663F1"/>
    <w:rsid w:val="00F66692"/>
    <w:rsid w:val="00F67576"/>
    <w:rsid w:val="00F7038F"/>
    <w:rsid w:val="00F7263D"/>
    <w:rsid w:val="00F7349C"/>
    <w:rsid w:val="00F75FAF"/>
    <w:rsid w:val="00F80745"/>
    <w:rsid w:val="00F8086A"/>
    <w:rsid w:val="00F82D23"/>
    <w:rsid w:val="00F8337A"/>
    <w:rsid w:val="00F83ECA"/>
    <w:rsid w:val="00F83F19"/>
    <w:rsid w:val="00F849D9"/>
    <w:rsid w:val="00F84CBC"/>
    <w:rsid w:val="00F84EA6"/>
    <w:rsid w:val="00F84ED1"/>
    <w:rsid w:val="00F86DC2"/>
    <w:rsid w:val="00F87A58"/>
    <w:rsid w:val="00F87AFC"/>
    <w:rsid w:val="00F87F1B"/>
    <w:rsid w:val="00F90066"/>
    <w:rsid w:val="00F91B7D"/>
    <w:rsid w:val="00F92CA3"/>
    <w:rsid w:val="00F9350E"/>
    <w:rsid w:val="00F9469D"/>
    <w:rsid w:val="00F94FED"/>
    <w:rsid w:val="00F95191"/>
    <w:rsid w:val="00F96D31"/>
    <w:rsid w:val="00FA07F8"/>
    <w:rsid w:val="00FA2472"/>
    <w:rsid w:val="00FA259B"/>
    <w:rsid w:val="00FA2D4E"/>
    <w:rsid w:val="00FA2E26"/>
    <w:rsid w:val="00FA39DF"/>
    <w:rsid w:val="00FA4088"/>
    <w:rsid w:val="00FA44AE"/>
    <w:rsid w:val="00FA504E"/>
    <w:rsid w:val="00FA76E5"/>
    <w:rsid w:val="00FB2DFC"/>
    <w:rsid w:val="00FB48D4"/>
    <w:rsid w:val="00FC556E"/>
    <w:rsid w:val="00FC56F9"/>
    <w:rsid w:val="00FC720A"/>
    <w:rsid w:val="00FD2DDA"/>
    <w:rsid w:val="00FD2F44"/>
    <w:rsid w:val="00FD3A73"/>
    <w:rsid w:val="00FD5FE7"/>
    <w:rsid w:val="00FD6A47"/>
    <w:rsid w:val="00FE0949"/>
    <w:rsid w:val="00FE308D"/>
    <w:rsid w:val="00FE5CAC"/>
    <w:rsid w:val="00FE5CE6"/>
    <w:rsid w:val="00FE6F3B"/>
    <w:rsid w:val="00FE6F52"/>
    <w:rsid w:val="00FF2727"/>
    <w:rsid w:val="00FF3519"/>
    <w:rsid w:val="00FF35DD"/>
    <w:rsid w:val="00FF3EB9"/>
    <w:rsid w:val="00FF5255"/>
    <w:rsid w:val="00FF5735"/>
    <w:rsid w:val="00FF5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2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autoRedefine/>
    <w:qFormat/>
    <w:rsid w:val="0075550C"/>
    <w:pPr>
      <w:numPr>
        <w:ilvl w:val="1"/>
      </w:numPr>
      <w:overflowPunct w:val="0"/>
      <w:autoSpaceDE w:val="0"/>
      <w:autoSpaceDN w:val="0"/>
      <w:adjustRightInd w:val="0"/>
      <w:spacing w:after="120" w:line="240" w:lineRule="auto"/>
      <w:jc w:val="both"/>
      <w:textAlignment w:val="baseline"/>
    </w:pPr>
    <w:rPr>
      <w:rFonts w:eastAsiaTheme="majorEastAsia" w:cstheme="majorBidi"/>
      <w:i/>
      <w:iCs/>
      <w:spacing w:val="15"/>
      <w:szCs w:val="24"/>
      <w:lang w:val="en-US"/>
    </w:rPr>
  </w:style>
  <w:style w:type="character" w:customStyle="1" w:styleId="PodtitulChar">
    <w:name w:val="Podtitul Char"/>
    <w:basedOn w:val="Standardnpsmoodstavce"/>
    <w:link w:val="Podtitul"/>
    <w:rsid w:val="0075550C"/>
    <w:rPr>
      <w:rFonts w:eastAsiaTheme="majorEastAsia" w:cstheme="majorBidi"/>
      <w:i/>
      <w:iCs/>
      <w:spacing w:val="15"/>
      <w:szCs w:val="24"/>
      <w:lang w:val="en-US"/>
    </w:rPr>
  </w:style>
  <w:style w:type="paragraph" w:customStyle="1" w:styleId="Podkapitola">
    <w:name w:val="Podkapitola"/>
    <w:basedOn w:val="Normln"/>
    <w:next w:val="Normln"/>
    <w:link w:val="PodkapitolaChar"/>
    <w:autoRedefine/>
    <w:qFormat/>
    <w:rsid w:val="00053CB3"/>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352847"/>
    <w:rPr>
      <w:rFonts w:ascii="Times New Roman" w:hAnsi="Times New Roman"/>
      <w:sz w:val="24"/>
    </w:rPr>
  </w:style>
  <w:style w:type="character" w:customStyle="1" w:styleId="PodkapitolaChar">
    <w:name w:val="Podkapitola Char"/>
    <w:basedOn w:val="Standardnpsmoodstavce"/>
    <w:link w:val="Podkapitola"/>
    <w:rsid w:val="00053CB3"/>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352847"/>
    <w:rPr>
      <w:rFonts w:ascii="Times New Roman" w:hAnsi="Times New Roman"/>
      <w:sz w:val="24"/>
    </w:rPr>
  </w:style>
  <w:style w:type="character" w:styleId="Hypertextovodkaz">
    <w:name w:val="Hyperlink"/>
    <w:basedOn w:val="Standardnpsmoodstavce"/>
    <w:uiPriority w:val="99"/>
    <w:unhideWhenUsed/>
    <w:rsid w:val="00352847"/>
    <w:rPr>
      <w:color w:val="0000FF" w:themeColor="hyperlink"/>
      <w:u w:val="single"/>
    </w:rPr>
  </w:style>
  <w:style w:type="table" w:customStyle="1" w:styleId="Mkatabulky3">
    <w:name w:val="Mřížka tabulky3"/>
    <w:basedOn w:val="Normlntabulka"/>
    <w:next w:val="Mkatabulky"/>
    <w:uiPriority w:val="59"/>
    <w:rsid w:val="00352847"/>
    <w:pPr>
      <w:spacing w:after="0" w:line="240" w:lineRule="auto"/>
    </w:pPr>
    <w:rPr>
      <w:rFonts w:ascii="Times New Roman" w:eastAsiaTheme="minorEastAsia"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5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528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28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2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autoRedefine/>
    <w:qFormat/>
    <w:rsid w:val="0075550C"/>
    <w:pPr>
      <w:numPr>
        <w:ilvl w:val="1"/>
      </w:numPr>
      <w:overflowPunct w:val="0"/>
      <w:autoSpaceDE w:val="0"/>
      <w:autoSpaceDN w:val="0"/>
      <w:adjustRightInd w:val="0"/>
      <w:spacing w:after="120" w:line="240" w:lineRule="auto"/>
      <w:jc w:val="both"/>
      <w:textAlignment w:val="baseline"/>
    </w:pPr>
    <w:rPr>
      <w:rFonts w:eastAsiaTheme="majorEastAsia" w:cstheme="majorBidi"/>
      <w:i/>
      <w:iCs/>
      <w:spacing w:val="15"/>
      <w:szCs w:val="24"/>
      <w:lang w:val="en-US"/>
    </w:rPr>
  </w:style>
  <w:style w:type="character" w:customStyle="1" w:styleId="PodtitulChar">
    <w:name w:val="Podtitul Char"/>
    <w:basedOn w:val="Standardnpsmoodstavce"/>
    <w:link w:val="Podtitul"/>
    <w:rsid w:val="0075550C"/>
    <w:rPr>
      <w:rFonts w:eastAsiaTheme="majorEastAsia" w:cstheme="majorBidi"/>
      <w:i/>
      <w:iCs/>
      <w:spacing w:val="15"/>
      <w:szCs w:val="24"/>
      <w:lang w:val="en-US"/>
    </w:rPr>
  </w:style>
  <w:style w:type="paragraph" w:customStyle="1" w:styleId="Podkapitola">
    <w:name w:val="Podkapitola"/>
    <w:basedOn w:val="Normln"/>
    <w:next w:val="Normln"/>
    <w:link w:val="PodkapitolaChar"/>
    <w:autoRedefine/>
    <w:qFormat/>
    <w:rsid w:val="00053CB3"/>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352847"/>
    <w:rPr>
      <w:rFonts w:ascii="Times New Roman" w:hAnsi="Times New Roman"/>
      <w:sz w:val="24"/>
    </w:rPr>
  </w:style>
  <w:style w:type="character" w:customStyle="1" w:styleId="PodkapitolaChar">
    <w:name w:val="Podkapitola Char"/>
    <w:basedOn w:val="Standardnpsmoodstavce"/>
    <w:link w:val="Podkapitola"/>
    <w:rsid w:val="00053CB3"/>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352847"/>
    <w:rPr>
      <w:rFonts w:ascii="Times New Roman" w:hAnsi="Times New Roman"/>
      <w:sz w:val="24"/>
    </w:rPr>
  </w:style>
  <w:style w:type="character" w:styleId="Hypertextovodkaz">
    <w:name w:val="Hyperlink"/>
    <w:basedOn w:val="Standardnpsmoodstavce"/>
    <w:uiPriority w:val="99"/>
    <w:unhideWhenUsed/>
    <w:rsid w:val="00352847"/>
    <w:rPr>
      <w:color w:val="0000FF" w:themeColor="hyperlink"/>
      <w:u w:val="single"/>
    </w:rPr>
  </w:style>
  <w:style w:type="table" w:customStyle="1" w:styleId="Mkatabulky3">
    <w:name w:val="Mřížka tabulky3"/>
    <w:basedOn w:val="Normlntabulka"/>
    <w:next w:val="Mkatabulky"/>
    <w:uiPriority w:val="59"/>
    <w:rsid w:val="00352847"/>
    <w:pPr>
      <w:spacing w:after="0" w:line="240" w:lineRule="auto"/>
    </w:pPr>
    <w:rPr>
      <w:rFonts w:ascii="Times New Roman" w:eastAsiaTheme="minorEastAsia"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5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528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2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sclpx.eu/lab3R.php?exp=1"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3_1_mereni_magneticke_indukce_elektromagnet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74184027777778"/>
          <c:y val="0.1386537037037037"/>
          <c:w val="0.62511679790026242"/>
          <c:h val="0.72706401283172939"/>
        </c:manualLayout>
      </c:layout>
      <c:scatterChart>
        <c:scatterStyle val="lineMarker"/>
        <c:varyColors val="0"/>
        <c:ser>
          <c:idx val="0"/>
          <c:order val="0"/>
          <c:tx>
            <c:strRef>
              <c:f>List1!$C$19</c:f>
              <c:strCache>
                <c:ptCount val="1"/>
                <c:pt idx="0">
                  <c:v>Bexp</c:v>
                </c:pt>
              </c:strCache>
            </c:strRef>
          </c:tx>
          <c:spPr>
            <a:ln w="28575">
              <a:noFill/>
            </a:ln>
          </c:spPr>
          <c:marker>
            <c:symbol val="x"/>
            <c:size val="7"/>
          </c:marker>
          <c:trendline>
            <c:spPr>
              <a:ln>
                <a:solidFill>
                  <a:srgbClr val="0070C0"/>
                </a:solidFill>
              </a:ln>
            </c:spPr>
            <c:trendlineType val="linear"/>
            <c:dispRSqr val="0"/>
            <c:dispEq val="1"/>
            <c:trendlineLbl>
              <c:layout>
                <c:manualLayout>
                  <c:x val="0.29553663194444446"/>
                  <c:y val="-0.10241635802469136"/>
                </c:manualLayout>
              </c:layout>
              <c:numFmt formatCode="General" sourceLinked="0"/>
              <c:txPr>
                <a:bodyPr/>
                <a:lstStyle/>
                <a:p>
                  <a:pPr>
                    <a:defRPr sz="1200">
                      <a:solidFill>
                        <a:srgbClr val="0070C0"/>
                      </a:solidFill>
                    </a:defRPr>
                  </a:pPr>
                  <a:endParaRPr lang="cs-CZ"/>
                </a:p>
              </c:txPr>
            </c:trendlineLbl>
          </c:trendline>
          <c:xVal>
            <c:numRef>
              <c:f>List1!$B$20:$B$27</c:f>
              <c:numCache>
                <c:formatCode>0.00</c:formatCode>
                <c:ptCount val="8"/>
                <c:pt idx="0">
                  <c:v>0.49</c:v>
                </c:pt>
                <c:pt idx="1">
                  <c:v>0.7</c:v>
                </c:pt>
                <c:pt idx="2">
                  <c:v>0.83</c:v>
                </c:pt>
                <c:pt idx="3">
                  <c:v>0.96</c:v>
                </c:pt>
                <c:pt idx="4">
                  <c:v>1.05</c:v>
                </c:pt>
                <c:pt idx="5">
                  <c:v>1.17</c:v>
                </c:pt>
                <c:pt idx="6">
                  <c:v>1.29</c:v>
                </c:pt>
                <c:pt idx="7">
                  <c:v>1.41</c:v>
                </c:pt>
              </c:numCache>
            </c:numRef>
          </c:xVal>
          <c:yVal>
            <c:numRef>
              <c:f>List1!$C$20:$C$27</c:f>
              <c:numCache>
                <c:formatCode>0.000</c:formatCode>
                <c:ptCount val="8"/>
                <c:pt idx="0">
                  <c:v>0.33009757370096698</c:v>
                </c:pt>
                <c:pt idx="1">
                  <c:v>0.46682846563435976</c:v>
                </c:pt>
                <c:pt idx="2">
                  <c:v>0.57174576910528674</c:v>
                </c:pt>
                <c:pt idx="3">
                  <c:v>0.66019514740193397</c:v>
                </c:pt>
                <c:pt idx="4">
                  <c:v>0.73812061400310891</c:v>
                </c:pt>
                <c:pt idx="5">
                  <c:v>0.8085706208981327</c:v>
                </c:pt>
                <c:pt idx="6">
                  <c:v>0.87335608839857359</c:v>
                </c:pt>
                <c:pt idx="7">
                  <c:v>0.93365693126871951</c:v>
                </c:pt>
              </c:numCache>
            </c:numRef>
          </c:yVal>
          <c:smooth val="0"/>
        </c:ser>
        <c:ser>
          <c:idx val="1"/>
          <c:order val="1"/>
          <c:tx>
            <c:strRef>
              <c:f>List1!$D$19</c:f>
              <c:strCache>
                <c:ptCount val="1"/>
                <c:pt idx="0">
                  <c:v>Bteor</c:v>
                </c:pt>
              </c:strCache>
            </c:strRef>
          </c:tx>
          <c:spPr>
            <a:ln w="28575">
              <a:noFill/>
            </a:ln>
          </c:spPr>
          <c:marker>
            <c:symbol val="x"/>
            <c:size val="7"/>
          </c:marker>
          <c:trendline>
            <c:spPr>
              <a:ln>
                <a:solidFill>
                  <a:srgbClr val="FF0000"/>
                </a:solidFill>
              </a:ln>
            </c:spPr>
            <c:trendlineType val="linear"/>
            <c:dispRSqr val="0"/>
            <c:dispEq val="1"/>
            <c:trendlineLbl>
              <c:layout>
                <c:manualLayout>
                  <c:x val="0.26466857638888891"/>
                  <c:y val="-0.21736728395061727"/>
                </c:manualLayout>
              </c:layout>
              <c:numFmt formatCode="General" sourceLinked="0"/>
              <c:txPr>
                <a:bodyPr/>
                <a:lstStyle/>
                <a:p>
                  <a:pPr>
                    <a:defRPr sz="1200">
                      <a:solidFill>
                        <a:srgbClr val="FF0000"/>
                      </a:solidFill>
                    </a:defRPr>
                  </a:pPr>
                  <a:endParaRPr lang="cs-CZ"/>
                </a:p>
              </c:txPr>
            </c:trendlineLbl>
          </c:trendline>
          <c:xVal>
            <c:numRef>
              <c:f>List1!$B$20:$B$27</c:f>
              <c:numCache>
                <c:formatCode>0.00</c:formatCode>
                <c:ptCount val="8"/>
                <c:pt idx="0">
                  <c:v>0.49</c:v>
                </c:pt>
                <c:pt idx="1">
                  <c:v>0.7</c:v>
                </c:pt>
                <c:pt idx="2">
                  <c:v>0.83</c:v>
                </c:pt>
                <c:pt idx="3">
                  <c:v>0.96</c:v>
                </c:pt>
                <c:pt idx="4">
                  <c:v>1.05</c:v>
                </c:pt>
                <c:pt idx="5">
                  <c:v>1.17</c:v>
                </c:pt>
                <c:pt idx="6">
                  <c:v>1.29</c:v>
                </c:pt>
                <c:pt idx="7">
                  <c:v>1.41</c:v>
                </c:pt>
              </c:numCache>
            </c:numRef>
          </c:xVal>
          <c:yVal>
            <c:numRef>
              <c:f>List1!$D$20:$D$27</c:f>
              <c:numCache>
                <c:formatCode>0.000</c:formatCode>
                <c:ptCount val="8"/>
                <c:pt idx="0">
                  <c:v>0.32730218181818177</c:v>
                </c:pt>
                <c:pt idx="1">
                  <c:v>0.46757454545454541</c:v>
                </c:pt>
                <c:pt idx="2">
                  <c:v>0.55440981818181811</c:v>
                </c:pt>
                <c:pt idx="3">
                  <c:v>0.64124509090909088</c:v>
                </c:pt>
                <c:pt idx="4">
                  <c:v>0.7013618181818182</c:v>
                </c:pt>
                <c:pt idx="5">
                  <c:v>0.7815174545454544</c:v>
                </c:pt>
                <c:pt idx="6">
                  <c:v>0.86167309090909094</c:v>
                </c:pt>
                <c:pt idx="7">
                  <c:v>0.94182872727272726</c:v>
                </c:pt>
              </c:numCache>
            </c:numRef>
          </c:yVal>
          <c:smooth val="0"/>
        </c:ser>
        <c:dLbls>
          <c:showLegendKey val="0"/>
          <c:showVal val="0"/>
          <c:showCatName val="0"/>
          <c:showSerName val="0"/>
          <c:showPercent val="0"/>
          <c:showBubbleSize val="0"/>
        </c:dLbls>
        <c:axId val="233854848"/>
        <c:axId val="290586624"/>
      </c:scatterChart>
      <c:valAx>
        <c:axId val="233854848"/>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I</a:t>
                </a:r>
                <a:r>
                  <a:rPr lang="cs-CZ" sz="1200" b="0">
                    <a:latin typeface="Times New Roman" panose="02020603050405020304" pitchFamily="18" charset="0"/>
                    <a:cs typeface="Times New Roman" panose="02020603050405020304" pitchFamily="18" charset="0"/>
                  </a:rPr>
                  <a:t> (A)</a:t>
                </a:r>
              </a:p>
            </c:rich>
          </c:tx>
          <c:layout>
            <c:manualLayout>
              <c:xMode val="edge"/>
              <c:yMode val="edge"/>
              <c:x val="0.77402604166666666"/>
              <c:y val="0.85664320987654319"/>
            </c:manualLayout>
          </c:layout>
          <c:overlay val="0"/>
        </c:title>
        <c:numFmt formatCode="0.00" sourceLinked="1"/>
        <c:majorTickMark val="out"/>
        <c:minorTickMark val="none"/>
        <c:tickLblPos val="nextTo"/>
        <c:crossAx val="290586624"/>
        <c:crosses val="autoZero"/>
        <c:crossBetween val="midCat"/>
      </c:valAx>
      <c:valAx>
        <c:axId val="290586624"/>
        <c:scaling>
          <c:orientation val="minMax"/>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B</a:t>
                </a:r>
                <a:r>
                  <a:rPr lang="cs-CZ" sz="1200" b="0">
                    <a:latin typeface="Times New Roman" panose="02020603050405020304" pitchFamily="18" charset="0"/>
                    <a:cs typeface="Times New Roman" panose="02020603050405020304" pitchFamily="18" charset="0"/>
                  </a:rPr>
                  <a:t> (T)</a:t>
                </a:r>
              </a:p>
            </c:rich>
          </c:tx>
          <c:layout>
            <c:manualLayout>
              <c:xMode val="edge"/>
              <c:yMode val="edge"/>
              <c:x val="4.324652777777778E-2"/>
              <c:y val="3.1803703703703702E-2"/>
            </c:manualLayout>
          </c:layout>
          <c:overlay val="0"/>
        </c:title>
        <c:numFmt formatCode="0.000" sourceLinked="1"/>
        <c:majorTickMark val="out"/>
        <c:minorTickMark val="none"/>
        <c:tickLblPos val="nextTo"/>
        <c:crossAx val="233854848"/>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6068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3</cp:revision>
  <cp:lastPrinted>2016-01-24T11:27:00Z</cp:lastPrinted>
  <dcterms:created xsi:type="dcterms:W3CDTF">2016-01-24T11:26:00Z</dcterms:created>
  <dcterms:modified xsi:type="dcterms:W3CDTF">2016-01-24T11:27:00Z</dcterms:modified>
</cp:coreProperties>
</file>