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5F" w:rsidRDefault="0021205F" w:rsidP="000D1537">
      <w:pPr>
        <w:pStyle w:val="Podkapitola"/>
      </w:pPr>
      <w:bookmarkStart w:id="0" w:name="_Toc429589065"/>
      <w:r>
        <w:t>Měření modulu pružnosti v ohybu z periody kmitů destičky jednostranně vetknuté</w:t>
      </w:r>
      <w:bookmarkEnd w:id="0"/>
    </w:p>
    <w:p w:rsidR="0021205F" w:rsidRDefault="0021205F" w:rsidP="0021205F">
      <w:pPr>
        <w:pStyle w:val="Bntextrga"/>
        <w:tabs>
          <w:tab w:val="left" w:pos="851"/>
        </w:tabs>
      </w:pPr>
    </w:p>
    <w:p w:rsidR="0021205F" w:rsidRDefault="0021205F" w:rsidP="0021205F">
      <w:pPr>
        <w:pStyle w:val="Bntextrga"/>
        <w:tabs>
          <w:tab w:val="left" w:pos="709"/>
        </w:tabs>
        <w:spacing w:line="360" w:lineRule="auto"/>
        <w:jc w:val="both"/>
        <w:rPr>
          <w:rFonts w:cs="Times New Roman"/>
          <w:szCs w:val="24"/>
        </w:rPr>
      </w:pPr>
      <w:r w:rsidRPr="001619D3">
        <w:rPr>
          <w:rFonts w:cs="Times New Roman"/>
        </w:rPr>
        <w:t>Online:</w:t>
      </w:r>
      <w:r>
        <w:rPr>
          <w:rFonts w:cs="Times New Roman"/>
        </w:rPr>
        <w:t xml:space="preserve"> </w:t>
      </w:r>
      <w:hyperlink r:id="rId5" w:history="1">
        <w:r w:rsidRPr="007E5A22">
          <w:rPr>
            <w:rStyle w:val="Hypertextovodkaz"/>
            <w:rFonts w:cs="Times New Roman"/>
          </w:rPr>
          <w:t>http://www.sclpx.eu/lab2R.php?exp=1</w:t>
        </w:r>
      </w:hyperlink>
      <w:r>
        <w:rPr>
          <w:rFonts w:cs="Times New Roman"/>
        </w:rPr>
        <w:t xml:space="preserve"> </w:t>
      </w:r>
      <w:r>
        <w:tab/>
      </w:r>
    </w:p>
    <w:p w:rsidR="0021205F" w:rsidRDefault="0021205F" w:rsidP="0021205F">
      <w:pPr>
        <w:spacing w:after="120" w:line="360" w:lineRule="auto"/>
        <w:jc w:val="both"/>
        <w:rPr>
          <w:rFonts w:ascii="Times New Roman" w:hAnsi="Times New Roman" w:cs="Times New Roman"/>
          <w:sz w:val="24"/>
          <w:szCs w:val="24"/>
        </w:rPr>
      </w:pPr>
    </w:p>
    <w:p w:rsidR="0021205F" w:rsidRPr="00781C82" w:rsidRDefault="0021205F" w:rsidP="0021205F">
      <w:pPr>
        <w:spacing w:after="120" w:line="360" w:lineRule="auto"/>
        <w:jc w:val="both"/>
        <w:rPr>
          <w:rFonts w:ascii="Times New Roman" w:hAnsi="Times New Roman" w:cs="Times New Roman"/>
          <w:b/>
          <w:sz w:val="24"/>
          <w:szCs w:val="24"/>
        </w:rPr>
      </w:pPr>
      <w:r w:rsidRPr="00781C82">
        <w:rPr>
          <w:rFonts w:ascii="Times New Roman" w:hAnsi="Times New Roman" w:cs="Times New Roman"/>
          <w:b/>
          <w:sz w:val="24"/>
          <w:szCs w:val="24"/>
        </w:rPr>
        <w:t>Úvod</w:t>
      </w:r>
    </w:p>
    <w:p w:rsidR="0021205F" w:rsidRPr="00781C82" w:rsidRDefault="0021205F" w:rsidP="0021205F">
      <w:pPr>
        <w:pStyle w:val="Bntextrga"/>
        <w:tabs>
          <w:tab w:val="left" w:pos="709"/>
        </w:tabs>
        <w:spacing w:line="360" w:lineRule="auto"/>
      </w:pPr>
      <w:r w:rsidRPr="00781C82">
        <w:t xml:space="preserve">Teorie kmitů tyčí různých průřezů je vysvětlena např. v </w:t>
      </w:r>
      <w:r w:rsidRPr="0021205F">
        <w:t xml:space="preserve">[5]. </w:t>
      </w:r>
      <w:r>
        <w:t>Ze vztahu pro úhlové</w:t>
      </w:r>
      <w:r w:rsidRPr="00781C82">
        <w:t xml:space="preserve"> frekvence </w:t>
      </w:r>
      <m:oMath>
        <m:sSub>
          <m:sSubPr>
            <m:ctrlPr>
              <w:rPr>
                <w:rFonts w:ascii="Cambria Math" w:hAnsi="Cambria Math"/>
                <w:i/>
              </w:rPr>
            </m:ctrlPr>
          </m:sSubPr>
          <m:e>
            <m:r>
              <w:rPr>
                <w:rFonts w:ascii="Cambria Math" w:hAnsi="Cambria Math"/>
              </w:rPr>
              <m:t>ω</m:t>
            </m:r>
          </m:e>
          <m:sub>
            <m:r>
              <w:rPr>
                <w:rFonts w:ascii="Cambria Math" w:hAnsi="Cambria Math"/>
              </w:rPr>
              <m:t>n</m:t>
            </m:r>
          </m:sub>
        </m:sSub>
      </m:oMath>
      <w:r w:rsidRPr="00781C82">
        <w:t xml:space="preserve"> jednostranně vetknuté destičky obdélníkového průřezu pak můžeme vyjádřit modul pružnosti </w:t>
      </w:r>
      <w:r w:rsidRPr="00781C82">
        <w:rPr>
          <w:i/>
        </w:rPr>
        <w:t>E</w:t>
      </w:r>
      <w:r>
        <w:t xml:space="preserve"> daného materiálu</w:t>
      </w:r>
    </w:p>
    <w:p w:rsidR="0021205F" w:rsidRPr="00DF13BD" w:rsidRDefault="0021205F" w:rsidP="0021205F">
      <w:pPr>
        <w:pStyle w:val="Bntextrga"/>
        <w:tabs>
          <w:tab w:val="left" w:pos="709"/>
        </w:tabs>
        <w:spacing w:line="360" w:lineRule="auto"/>
        <w:jc w:val="center"/>
      </w:pPr>
      <m:oMathPara>
        <m:oMathParaPr>
          <m:jc m:val="right"/>
        </m:oMathParaPr>
        <m:oMath>
          <m:r>
            <w:rPr>
              <w:rFonts w:ascii="Cambria Math" w:hAnsi="Cambria Math"/>
            </w:rPr>
            <m:t>E=</m:t>
          </m:r>
          <m:f>
            <m:fPr>
              <m:ctrlPr>
                <w:rPr>
                  <w:rFonts w:ascii="Cambria Math" w:hAnsi="Cambria Math"/>
                  <w:i/>
                </w:rPr>
              </m:ctrlPr>
            </m:fPr>
            <m:num>
              <m:r>
                <w:rPr>
                  <w:rFonts w:ascii="Cambria Math" w:hAnsi="Cambria Math"/>
                </w:rPr>
                <m:t xml:space="preserve">48 </m:t>
              </m:r>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 xml:space="preserve">ρ </m:t>
              </m:r>
              <m:sSup>
                <m:sSupPr>
                  <m:ctrlPr>
                    <w:rPr>
                      <w:rFonts w:ascii="Cambria Math" w:hAnsi="Cambria Math"/>
                      <w:i/>
                    </w:rPr>
                  </m:ctrlPr>
                </m:sSupPr>
                <m:e>
                  <m:r>
                    <w:rPr>
                      <w:rFonts w:ascii="Cambria Math" w:hAnsi="Cambria Math"/>
                    </w:rPr>
                    <m:t>l</m:t>
                  </m:r>
                </m:e>
                <m:sup>
                  <m:r>
                    <w:rPr>
                      <w:rFonts w:ascii="Cambria Math" w:hAnsi="Cambria Math"/>
                    </w:rPr>
                    <m:t>2</m:t>
                  </m:r>
                </m:sup>
              </m:sSup>
              <m:sSup>
                <m:sSupPr>
                  <m:ctrlPr>
                    <w:rPr>
                      <w:rFonts w:ascii="Cambria Math" w:hAnsi="Cambria Math"/>
                      <w:i/>
                    </w:rPr>
                  </m:ctrlPr>
                </m:sSupPr>
                <m:e>
                  <m:r>
                    <w:rPr>
                      <w:rFonts w:ascii="Cambria Math" w:hAnsi="Cambria Math"/>
                    </w:rPr>
                    <m:t>f</m:t>
                  </m:r>
                </m:e>
                <m:sup>
                  <m:r>
                    <w:rPr>
                      <w:rFonts w:ascii="Cambria Math" w:hAnsi="Cambria Math"/>
                    </w:rPr>
                    <m:t>2</m:t>
                  </m:r>
                </m:sup>
              </m:sSup>
            </m:num>
            <m:den>
              <m:sSubSup>
                <m:sSubSupPr>
                  <m:ctrlPr>
                    <w:rPr>
                      <w:rFonts w:ascii="Cambria Math" w:hAnsi="Cambria Math"/>
                      <w:i/>
                    </w:rPr>
                  </m:ctrlPr>
                </m:sSubSupPr>
                <m:e>
                  <m:r>
                    <w:rPr>
                      <w:rFonts w:ascii="Cambria Math" w:hAnsi="Cambria Math"/>
                    </w:rPr>
                    <m:t>a</m:t>
                  </m:r>
                </m:e>
                <m:sub>
                  <m:r>
                    <w:rPr>
                      <w:rFonts w:ascii="Cambria Math" w:hAnsi="Cambria Math"/>
                    </w:rPr>
                    <m:t>i</m:t>
                  </m:r>
                </m:sub>
                <m:sup>
                  <m:r>
                    <w:rPr>
                      <w:rFonts w:ascii="Cambria Math" w:hAnsi="Cambria Math"/>
                    </w:rPr>
                    <m:t>4</m:t>
                  </m:r>
                </m:sup>
              </m:sSubSup>
              <m:sSup>
                <m:sSupPr>
                  <m:ctrlPr>
                    <w:rPr>
                      <w:rFonts w:ascii="Cambria Math" w:hAnsi="Cambria Math"/>
                      <w:i/>
                    </w:rPr>
                  </m:ctrlPr>
                </m:sSupPr>
                <m:e>
                  <m:r>
                    <w:rPr>
                      <w:rFonts w:ascii="Cambria Math" w:hAnsi="Cambria Math"/>
                    </w:rPr>
                    <m:t>h</m:t>
                  </m:r>
                </m:e>
                <m:sup>
                  <m:r>
                    <w:rPr>
                      <w:rFonts w:ascii="Cambria Math" w:hAnsi="Cambria Math"/>
                    </w:rPr>
                    <m:t>2</m:t>
                  </m:r>
                </m:sup>
              </m:sSup>
            </m:den>
          </m:f>
          <m:r>
            <w:rPr>
              <w:rFonts w:ascii="Cambria Math" w:eastAsiaTheme="minorEastAsia" w:hAnsi="Cambria Math"/>
            </w:rPr>
            <m:t>,                                                         (2.1.1)</m:t>
          </m:r>
        </m:oMath>
      </m:oMathPara>
    </w:p>
    <w:p w:rsidR="0021205F" w:rsidRPr="00DF13BD" w:rsidRDefault="0021205F" w:rsidP="0021205F">
      <w:pPr>
        <w:tabs>
          <w:tab w:val="left" w:pos="4065"/>
        </w:tabs>
      </w:pPr>
      <w:r>
        <w:tab/>
      </w:r>
    </w:p>
    <w:p w:rsidR="0021205F" w:rsidRPr="00781C82" w:rsidRDefault="0021205F" w:rsidP="0021205F">
      <w:pPr>
        <w:pStyle w:val="Bntextrga"/>
        <w:tabs>
          <w:tab w:val="left" w:pos="709"/>
        </w:tabs>
        <w:spacing w:line="360" w:lineRule="auto"/>
        <w:jc w:val="both"/>
      </w:pPr>
      <w:r w:rsidRPr="00781C82">
        <w:t xml:space="preserve">kde </w:t>
      </w:r>
      <m:oMath>
        <m:r>
          <w:rPr>
            <w:rFonts w:ascii="Cambria Math" w:hAnsi="Cambria Math"/>
          </w:rPr>
          <m:t>ρ</m:t>
        </m:r>
      </m:oMath>
      <w:r w:rsidRPr="00781C82">
        <w:t xml:space="preserve"> je hustota látky, ze které je destička vyrobena, </w:t>
      </w:r>
      <w:r w:rsidRPr="00781C82">
        <w:rPr>
          <w:i/>
        </w:rPr>
        <w:t>l</w:t>
      </w:r>
      <w:r w:rsidRPr="00781C82">
        <w:t xml:space="preserve"> je délka destičky, </w:t>
      </w:r>
      <w:r w:rsidRPr="00781C82">
        <w:rPr>
          <w:i/>
        </w:rPr>
        <w:t>h</w:t>
      </w:r>
      <w:r w:rsidRPr="00781C82">
        <w:t xml:space="preserve"> je tloušťka destičky, </w:t>
      </w:r>
      <w:r w:rsidRPr="00781C82">
        <w:rPr>
          <w:i/>
        </w:rPr>
        <w:t>f</w:t>
      </w:r>
      <w:r w:rsidRPr="00781C82">
        <w:t xml:space="preserve"> je frekvence vlastních kmitů a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Pr>
          <w:rFonts w:eastAsiaTheme="minorEastAsia"/>
        </w:rPr>
        <w:t xml:space="preserve"> </w:t>
      </w:r>
      <w:r w:rsidRPr="00781C82">
        <w:t xml:space="preserve">jsou tzv. </w:t>
      </w:r>
      <w:r w:rsidRPr="00CC3CBD">
        <w:rPr>
          <w:i/>
        </w:rPr>
        <w:t>charakteristické hodnoty</w:t>
      </w:r>
      <w:r w:rsidRPr="00781C82">
        <w:t>, jejichž velikosti jsou dány okrajovými podmínkami (číslem vidu, způsobem upevnění destičky).</w:t>
      </w:r>
      <w:r>
        <w:t xml:space="preserve"> V našem případě činí</w:t>
      </w:r>
      <w:r w:rsidRPr="00781C82">
        <w:t xml:space="preserve"> hodnota této konstanty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=1,8751</m:t>
        </m:r>
      </m:oMath>
      <w:r w:rsidRPr="00781C82">
        <w:t xml:space="preserve">, resp. </w:t>
      </w:r>
      <m:oMath>
        <m:sSubSup>
          <m:sSubSupPr>
            <m:ctrlPr>
              <w:rPr>
                <w:rFonts w:ascii="Cambria Math" w:hAnsi="Cambria Math"/>
                <w:i/>
              </w:rPr>
            </m:ctrlPr>
          </m:sSubSupPr>
          <m:e>
            <m:r>
              <w:rPr>
                <w:rFonts w:ascii="Cambria Math" w:hAnsi="Cambria Math"/>
              </w:rPr>
              <m:t>a</m:t>
            </m:r>
          </m:e>
          <m:sub>
            <m:r>
              <w:rPr>
                <w:rFonts w:ascii="Cambria Math" w:hAnsi="Cambria Math"/>
              </w:rPr>
              <m:t>i</m:t>
            </m:r>
          </m:sub>
          <m:sup>
            <m:r>
              <w:rPr>
                <w:rFonts w:ascii="Cambria Math" w:hAnsi="Cambria Math"/>
              </w:rPr>
              <m:t>2</m:t>
            </m:r>
          </m:sup>
        </m:sSubSup>
        <m:r>
          <w:rPr>
            <w:rFonts w:ascii="Cambria Math" w:hAnsi="Cambria Math"/>
          </w:rPr>
          <m:t>=3,52</m:t>
        </m:r>
      </m:oMath>
      <w:r w:rsidRPr="00781C82">
        <w:t xml:space="preserve"> což odpovídá jednostranně vetknuté destičce pro vid </w:t>
      </w:r>
      <w:r w:rsidRPr="00781C82">
        <w:rPr>
          <w:i/>
        </w:rPr>
        <w:t>n</w:t>
      </w:r>
      <w:r w:rsidRPr="00781C82">
        <w:t xml:space="preserve"> = 1, viz </w:t>
      </w:r>
      <w:r w:rsidRPr="0021205F">
        <w:t xml:space="preserve">[5]. </w:t>
      </w:r>
      <w:r w:rsidRPr="00781C82">
        <w:t>Za povšimnutí stojí fakt, že šířka destičky nemá na frekvenci kmitů žádný vliv.</w:t>
      </w:r>
    </w:p>
    <w:p w:rsidR="000D1537" w:rsidRDefault="000D1537" w:rsidP="0021205F">
      <w:pPr>
        <w:pStyle w:val="Bntextrga"/>
        <w:spacing w:line="360" w:lineRule="auto"/>
        <w:jc w:val="both"/>
        <w:rPr>
          <w:rFonts w:eastAsiaTheme="minorEastAsia"/>
          <w:b/>
          <w:szCs w:val="24"/>
        </w:rPr>
      </w:pPr>
    </w:p>
    <w:p w:rsidR="0021205F" w:rsidRDefault="0021205F" w:rsidP="0021205F">
      <w:pPr>
        <w:pStyle w:val="Bntextrga"/>
        <w:spacing w:line="360" w:lineRule="auto"/>
        <w:jc w:val="both"/>
        <w:rPr>
          <w:rFonts w:eastAsiaTheme="minorEastAsia"/>
          <w:szCs w:val="24"/>
        </w:rPr>
      </w:pPr>
      <w:r>
        <w:rPr>
          <w:rFonts w:eastAsiaTheme="minorEastAsia"/>
          <w:b/>
          <w:szCs w:val="24"/>
        </w:rPr>
        <w:t>Pomůcky:</w:t>
      </w:r>
      <w:r>
        <w:rPr>
          <w:rFonts w:eastAsiaTheme="minorEastAsia"/>
          <w:szCs w:val="24"/>
        </w:rPr>
        <w:t xml:space="preserve"> monogate, kovová destička, dřevěná destička, plastová destička, mikrometr, délkové měřidlo, laboratorní svěrák, stativový materiál</w:t>
      </w:r>
    </w:p>
    <w:p w:rsidR="0021205F" w:rsidRDefault="0021205F" w:rsidP="0021205F">
      <w:pPr>
        <w:pStyle w:val="Bntextrga"/>
        <w:jc w:val="both"/>
        <w:rPr>
          <w:rFonts w:eastAsiaTheme="minorEastAsia"/>
          <w:szCs w:val="24"/>
        </w:rPr>
      </w:pPr>
      <w:r>
        <w:rPr>
          <w:rFonts w:eastAsiaTheme="minorEastAsia"/>
          <w:b/>
          <w:szCs w:val="24"/>
        </w:rPr>
        <w:t>Postup práce</w:t>
      </w:r>
    </w:p>
    <w:p w:rsidR="0021205F" w:rsidRPr="00F54814" w:rsidRDefault="0021205F" w:rsidP="0021205F">
      <w:pPr>
        <w:pStyle w:val="Bntextrga"/>
        <w:tabs>
          <w:tab w:val="left" w:pos="709"/>
        </w:tabs>
        <w:spacing w:line="360" w:lineRule="auto"/>
        <w:jc w:val="both"/>
      </w:pPr>
      <w:r>
        <w:t>D</w:t>
      </w:r>
      <w:r w:rsidRPr="00F54814">
        <w:t xml:space="preserve">o svěráku </w:t>
      </w:r>
      <w:r>
        <w:t>upevníme</w:t>
      </w:r>
      <w:r w:rsidRPr="00F54814">
        <w:t xml:space="preserve"> postupně různě</w:t>
      </w:r>
      <w:r>
        <w:t xml:space="preserve"> dlouhé destičky z mědi, oceli, </w:t>
      </w:r>
      <w:r w:rsidRPr="00F54814">
        <w:t>nerezu</w:t>
      </w:r>
      <w:r>
        <w:t>, dřeva nebo plastu o různé tloušťce</w:t>
      </w:r>
      <w:r w:rsidRPr="00F54814">
        <w:t xml:space="preserve">. </w:t>
      </w:r>
      <w:r>
        <w:t xml:space="preserve">Podle způsobu uchycení destičky ve svěráku polohujeme monogate vertikálně nebo horizontálně tak, aby laserový paprsek mířil na konec destičky ve směru její tloušťky. </w:t>
      </w:r>
      <w:r w:rsidRPr="00F54814">
        <w:t xml:space="preserve">Uspořádání experimentu můžeme vidět na </w:t>
      </w:r>
      <w:r>
        <w:t>obrázku 2.1.1</w:t>
      </w:r>
      <w:r w:rsidRPr="00F54814">
        <w:t xml:space="preserve">, průběh kmitů destičky na </w:t>
      </w:r>
      <w:r>
        <w:t>obrázku 2.1.2</w:t>
      </w:r>
      <w:r w:rsidRPr="00F54814">
        <w:t>, na kterém je mimo jiné vidět i krásný exponenciální pokles amplitudy kmitů.</w:t>
      </w:r>
      <w:r>
        <w:t xml:space="preserve"> Experiment provedeme desetkrát pro tutéž hodnotu tloušťky a délky stejné destičky nebo realizujeme vícekrát měření s různými destičkami ze stejného materiálu.</w:t>
      </w:r>
    </w:p>
    <w:p w:rsidR="0021205F" w:rsidRDefault="0021205F" w:rsidP="0021205F">
      <w:pPr>
        <w:pStyle w:val="Bntextrga"/>
        <w:tabs>
          <w:tab w:val="left" w:pos="709"/>
        </w:tabs>
        <w:spacing w:line="360" w:lineRule="auto"/>
        <w:jc w:val="both"/>
      </w:pPr>
      <w:r>
        <w:rPr>
          <w:noProof/>
          <w:lang w:eastAsia="cs-CZ"/>
        </w:rPr>
        <w:lastRenderedPageBreak/>
        <w:drawing>
          <wp:inline distT="0" distB="0" distL="0" distR="0" wp14:anchorId="23AA486B" wp14:editId="56A8EC5D">
            <wp:extent cx="5760085" cy="3239770"/>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_urceni_modulu_pruznosti_kmity_destick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21205F" w:rsidRPr="007A2BCA" w:rsidRDefault="0021205F" w:rsidP="0021205F">
      <w:pPr>
        <w:pStyle w:val="Bntextrga"/>
        <w:spacing w:line="360" w:lineRule="auto"/>
        <w:jc w:val="center"/>
        <w:rPr>
          <w:rFonts w:eastAsiaTheme="minorEastAsia"/>
          <w:sz w:val="20"/>
          <w:szCs w:val="20"/>
        </w:rPr>
      </w:pPr>
      <w:r>
        <w:rPr>
          <w:rFonts w:eastAsiaTheme="minorEastAsia"/>
          <w:sz w:val="20"/>
          <w:szCs w:val="20"/>
        </w:rPr>
        <w:t>Obr. 2.1</w:t>
      </w:r>
      <w:r w:rsidRPr="007A2BCA">
        <w:rPr>
          <w:rFonts w:eastAsiaTheme="minorEastAsia"/>
          <w:sz w:val="20"/>
          <w:szCs w:val="20"/>
        </w:rPr>
        <w:t>.</w:t>
      </w:r>
      <w:r>
        <w:rPr>
          <w:rFonts w:eastAsiaTheme="minorEastAsia"/>
          <w:sz w:val="20"/>
          <w:szCs w:val="20"/>
        </w:rPr>
        <w:t>1</w:t>
      </w:r>
      <w:r w:rsidRPr="007A2BCA">
        <w:rPr>
          <w:rFonts w:eastAsiaTheme="minorEastAsia"/>
          <w:sz w:val="20"/>
          <w:szCs w:val="20"/>
        </w:rPr>
        <w:t xml:space="preserve"> </w:t>
      </w:r>
      <w:r>
        <w:rPr>
          <w:rFonts w:eastAsiaTheme="minorEastAsia"/>
          <w:sz w:val="20"/>
          <w:szCs w:val="20"/>
        </w:rPr>
        <w:t>Uspořádání experimentu</w:t>
      </w:r>
      <w:r w:rsidRPr="007A2BCA">
        <w:rPr>
          <w:rFonts w:eastAsiaTheme="minorEastAsia"/>
          <w:sz w:val="20"/>
          <w:szCs w:val="20"/>
        </w:rPr>
        <w:t xml:space="preserve"> – Měření </w:t>
      </w:r>
      <w:r>
        <w:rPr>
          <w:rFonts w:eastAsiaTheme="minorEastAsia"/>
          <w:sz w:val="20"/>
          <w:szCs w:val="20"/>
        </w:rPr>
        <w:t>modulu pružnosti ohybu destičky</w:t>
      </w:r>
    </w:p>
    <w:p w:rsidR="0021205F" w:rsidRDefault="000D1537" w:rsidP="0021205F">
      <w:pPr>
        <w:pStyle w:val="Bntextrga"/>
        <w:tabs>
          <w:tab w:val="left" w:pos="709"/>
        </w:tabs>
        <w:spacing w:line="360" w:lineRule="auto"/>
        <w:jc w:val="both"/>
      </w:pPr>
      <w:r>
        <w:br/>
      </w:r>
    </w:p>
    <w:p w:rsidR="0021205F" w:rsidRDefault="0021205F" w:rsidP="0021205F">
      <w:pPr>
        <w:pStyle w:val="Bntextrga"/>
        <w:tabs>
          <w:tab w:val="left" w:pos="709"/>
        </w:tabs>
        <w:spacing w:line="360" w:lineRule="auto"/>
        <w:jc w:val="both"/>
      </w:pPr>
      <w:r>
        <w:rPr>
          <w:noProof/>
          <w:lang w:eastAsia="cs-CZ"/>
        </w:rPr>
        <w:drawing>
          <wp:inline distT="0" distB="0" distL="0" distR="0" wp14:anchorId="29808E2B" wp14:editId="43DACE0E">
            <wp:extent cx="5760085" cy="3239770"/>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_oscilogram_kmity_destick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21205F" w:rsidRPr="007A2BCA" w:rsidRDefault="0021205F" w:rsidP="0021205F">
      <w:pPr>
        <w:pStyle w:val="Bntextrga"/>
        <w:spacing w:line="360" w:lineRule="auto"/>
        <w:jc w:val="center"/>
        <w:rPr>
          <w:rFonts w:eastAsiaTheme="minorEastAsia"/>
          <w:sz w:val="20"/>
          <w:szCs w:val="20"/>
        </w:rPr>
      </w:pPr>
      <w:r>
        <w:rPr>
          <w:rFonts w:eastAsiaTheme="minorEastAsia"/>
          <w:sz w:val="20"/>
          <w:szCs w:val="20"/>
        </w:rPr>
        <w:t>Obr. 2.1</w:t>
      </w:r>
      <w:r w:rsidRPr="007A2BCA">
        <w:rPr>
          <w:rFonts w:eastAsiaTheme="minorEastAsia"/>
          <w:sz w:val="20"/>
          <w:szCs w:val="20"/>
        </w:rPr>
        <w:t>.</w:t>
      </w:r>
      <w:r>
        <w:rPr>
          <w:rFonts w:eastAsiaTheme="minorEastAsia"/>
          <w:sz w:val="20"/>
          <w:szCs w:val="20"/>
        </w:rPr>
        <w:t>2</w:t>
      </w:r>
      <w:r w:rsidRPr="007A2BCA">
        <w:rPr>
          <w:rFonts w:eastAsiaTheme="minorEastAsia"/>
          <w:sz w:val="20"/>
          <w:szCs w:val="20"/>
        </w:rPr>
        <w:t xml:space="preserve"> </w:t>
      </w:r>
      <w:r>
        <w:rPr>
          <w:rFonts w:eastAsiaTheme="minorEastAsia"/>
          <w:sz w:val="20"/>
          <w:szCs w:val="20"/>
        </w:rPr>
        <w:t>Oscilogram experimentu</w:t>
      </w:r>
      <w:r w:rsidRPr="007A2BCA">
        <w:rPr>
          <w:rFonts w:eastAsiaTheme="minorEastAsia"/>
          <w:sz w:val="20"/>
          <w:szCs w:val="20"/>
        </w:rPr>
        <w:t xml:space="preserve"> – Měření </w:t>
      </w:r>
      <w:r>
        <w:rPr>
          <w:rFonts w:eastAsiaTheme="minorEastAsia"/>
          <w:sz w:val="20"/>
          <w:szCs w:val="20"/>
        </w:rPr>
        <w:t>modulu pružnosti ohybu destičky</w:t>
      </w:r>
      <w:r>
        <w:rPr>
          <w:rFonts w:eastAsiaTheme="minorEastAsia"/>
          <w:sz w:val="20"/>
          <w:szCs w:val="20"/>
        </w:rPr>
        <w:br/>
      </w:r>
    </w:p>
    <w:p w:rsidR="000D1537" w:rsidRDefault="000D1537" w:rsidP="0021205F">
      <w:pPr>
        <w:pStyle w:val="Bntextrga"/>
        <w:tabs>
          <w:tab w:val="left" w:pos="709"/>
        </w:tabs>
        <w:spacing w:line="360" w:lineRule="auto"/>
        <w:jc w:val="both"/>
      </w:pPr>
    </w:p>
    <w:p w:rsidR="0021205F" w:rsidRDefault="0021205F" w:rsidP="0021205F">
      <w:pPr>
        <w:pStyle w:val="Bntextrga"/>
        <w:tabs>
          <w:tab w:val="left" w:pos="709"/>
        </w:tabs>
        <w:spacing w:line="360" w:lineRule="auto"/>
        <w:jc w:val="both"/>
      </w:pPr>
      <w:r>
        <w:lastRenderedPageBreak/>
        <w:t xml:space="preserve">Ve FAE určíme hodnotu periody (mezi 1. a 3. píkem na začátku záznamu) a pomocí délkového měřidla a mikrometru zjistíme délku, resp. tloušťku destičky. Naměřené hodnoty dosadíme do vztahu (2.1.1), přičemž hustotu destičky určíme buď pomocí MFChT tabulek nebo ji určíme experimentálně klasickým způsobem ze vztahu </w:t>
      </w:r>
      <m:oMath>
        <m:r>
          <w:rPr>
            <w:rFonts w:ascii="Cambria Math" w:hAnsi="Cambria Math"/>
          </w:rPr>
          <m:t>ρ=</m:t>
        </m:r>
        <m:f>
          <m:fPr>
            <m:ctrlPr>
              <w:rPr>
                <w:rFonts w:ascii="Cambria Math" w:hAnsi="Cambria Math"/>
                <w:i/>
              </w:rPr>
            </m:ctrlPr>
          </m:fPr>
          <m:num>
            <m:r>
              <w:rPr>
                <w:rFonts w:ascii="Cambria Math" w:hAnsi="Cambria Math"/>
              </w:rPr>
              <m:t>m</m:t>
            </m:r>
          </m:num>
          <m:den>
            <m:r>
              <w:rPr>
                <w:rFonts w:ascii="Cambria Math" w:hAnsi="Cambria Math"/>
              </w:rPr>
              <m:t>V</m:t>
            </m:r>
          </m:den>
        </m:f>
      </m:oMath>
      <w:r>
        <w:t>. Námi naměřené hodnoty udává následující tabulka 2.1.</w:t>
      </w:r>
    </w:p>
    <w:p w:rsidR="0021205F" w:rsidRPr="00537854" w:rsidRDefault="0021205F" w:rsidP="0021205F">
      <w:pPr>
        <w:spacing w:after="120" w:line="240" w:lineRule="auto"/>
        <w:jc w:val="both"/>
        <w:rPr>
          <w:rFonts w:ascii="Times New Roman" w:hAnsi="Times New Roman" w:cs="Times New Roman"/>
          <w:sz w:val="24"/>
          <w:szCs w:val="24"/>
          <w:vertAlign w:val="subscript"/>
        </w:rPr>
      </w:pPr>
      <w:r w:rsidRPr="00ED7B8F">
        <w:rPr>
          <w:rFonts w:ascii="Times New Roman" w:hAnsi="Times New Roman" w:cs="Times New Roman"/>
          <w:b/>
          <w:sz w:val="24"/>
          <w:szCs w:val="24"/>
        </w:rPr>
        <w:t xml:space="preserve">Tabulka </w:t>
      </w:r>
      <w:r>
        <w:rPr>
          <w:rFonts w:ascii="Times New Roman" w:hAnsi="Times New Roman" w:cs="Times New Roman"/>
          <w:b/>
          <w:sz w:val="24"/>
          <w:szCs w:val="24"/>
        </w:rPr>
        <w:t>2.1</w:t>
      </w:r>
      <w:r>
        <w:rPr>
          <w:rFonts w:ascii="Times New Roman" w:hAnsi="Times New Roman" w:cs="Times New Roman"/>
          <w:sz w:val="24"/>
          <w:szCs w:val="24"/>
        </w:rPr>
        <w:t xml:space="preserve"> Měření modulu pružnosti z periody kmitů destičky jednostranně vetknuté</w:t>
      </w:r>
    </w:p>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
        <w:gridCol w:w="1474"/>
        <w:gridCol w:w="1470"/>
        <w:gridCol w:w="787"/>
        <w:gridCol w:w="787"/>
        <w:gridCol w:w="911"/>
        <w:gridCol w:w="1277"/>
        <w:gridCol w:w="1323"/>
      </w:tblGrid>
      <w:tr w:rsidR="0021205F" w:rsidRPr="00537854" w:rsidTr="00384E88">
        <w:trPr>
          <w:jc w:val="center"/>
        </w:trPr>
        <w:tc>
          <w:tcPr>
            <w:tcW w:w="0" w:type="auto"/>
            <w:tcBorders>
              <w:top w:val="single" w:sz="4" w:space="0" w:color="auto"/>
              <w:bottom w:val="single" w:sz="4" w:space="0" w:color="auto"/>
            </w:tcBorders>
            <w:tcMar>
              <w:top w:w="57" w:type="dxa"/>
            </w:tcMar>
            <w:vAlign w:val="center"/>
          </w:tcPr>
          <w:p w:rsidR="0021205F" w:rsidRPr="00ED7B8F" w:rsidRDefault="0021205F" w:rsidP="00384E88">
            <w:pPr>
              <w:pStyle w:val="Bntextrga"/>
              <w:spacing w:after="120"/>
              <w:jc w:val="center"/>
            </w:pPr>
            <w:r w:rsidRPr="00ED7B8F">
              <w:t>materiál</w:t>
            </w:r>
          </w:p>
        </w:tc>
        <w:tc>
          <w:tcPr>
            <w:tcW w:w="0" w:type="auto"/>
            <w:tcBorders>
              <w:top w:val="single" w:sz="4" w:space="0" w:color="auto"/>
              <w:bottom w:val="single" w:sz="4" w:space="0" w:color="auto"/>
            </w:tcBorders>
            <w:tcMar>
              <w:top w:w="57" w:type="dxa"/>
            </w:tcMar>
            <w:vAlign w:val="center"/>
          </w:tcPr>
          <w:p w:rsidR="0021205F" w:rsidRPr="00537854" w:rsidRDefault="0021205F" w:rsidP="00384E88">
            <w:pPr>
              <w:pStyle w:val="Bntextrga"/>
              <w:spacing w:after="120"/>
              <w:jc w:val="center"/>
            </w:pPr>
            <m:oMath>
              <m:r>
                <w:rPr>
                  <w:rFonts w:ascii="Cambria Math" w:hAnsi="Cambria Math"/>
                </w:rPr>
                <m:t>ρ</m:t>
              </m:r>
            </m:oMath>
            <w:r>
              <w:t xml:space="preserve"> (</w:t>
            </w:r>
            <m:oMath>
              <m:r>
                <m:rPr>
                  <m:sty m:val="p"/>
                </m:rPr>
                <w:rPr>
                  <w:rFonts w:ascii="Cambria Math" w:hAnsi="Cambria Math"/>
                </w:rPr>
                <m:t>kg</m:t>
              </m:r>
              <m:sSup>
                <m:sSupPr>
                  <m:ctrlPr>
                    <w:rPr>
                      <w:rFonts w:ascii="Cambria Math" w:eastAsiaTheme="minorEastAsia" w:hAnsi="Cambria Math"/>
                      <w:szCs w:val="24"/>
                    </w:rPr>
                  </m:ctrlPr>
                </m:sSupPr>
                <m:e>
                  <m:r>
                    <m:rPr>
                      <m:sty m:val="p"/>
                    </m:rPr>
                    <w:rPr>
                      <w:rFonts w:ascii="Cambria Math" w:eastAsiaTheme="minorEastAsia" w:hAnsi="Cambria Math"/>
                      <w:szCs w:val="24"/>
                    </w:rPr>
                    <m:t>∙</m:t>
                  </m:r>
                  <m:r>
                    <m:rPr>
                      <m:sty m:val="p"/>
                    </m:rPr>
                    <w:rPr>
                      <w:rFonts w:ascii="Cambria Math" w:hAnsi="Cambria Math"/>
                    </w:rPr>
                    <m:t>m</m:t>
                  </m:r>
                </m:e>
                <m:sup>
                  <m:r>
                    <m:rPr>
                      <m:sty m:val="p"/>
                    </m:rPr>
                    <w:rPr>
                      <w:rFonts w:ascii="Cambria Math" w:eastAsiaTheme="minorEastAsia" w:hAnsi="Cambria Math"/>
                      <w:szCs w:val="24"/>
                    </w:rPr>
                    <m:t>-</m:t>
                  </m:r>
                  <m:r>
                    <m:rPr>
                      <m:sty m:val="p"/>
                    </m:rPr>
                    <w:rPr>
                      <w:rFonts w:ascii="Cambria Math" w:hAnsi="Cambria Math"/>
                    </w:rPr>
                    <m:t>3</m:t>
                  </m:r>
                </m:sup>
              </m:sSup>
            </m:oMath>
            <w:r>
              <w:t>)</w:t>
            </w:r>
          </w:p>
        </w:tc>
        <w:tc>
          <w:tcPr>
            <w:tcW w:w="0" w:type="auto"/>
            <w:tcBorders>
              <w:top w:val="single" w:sz="4" w:space="0" w:color="auto"/>
              <w:bottom w:val="single" w:sz="4" w:space="0" w:color="auto"/>
            </w:tcBorders>
            <w:tcMar>
              <w:top w:w="57" w:type="dxa"/>
            </w:tcMar>
            <w:vAlign w:val="center"/>
          </w:tcPr>
          <w:p w:rsidR="0021205F" w:rsidRPr="00537854" w:rsidRDefault="0021205F" w:rsidP="00384E88">
            <w:pPr>
              <w:pStyle w:val="Bntextrga"/>
              <w:spacing w:after="120"/>
              <w:jc w:val="center"/>
            </w:pPr>
            <w:r>
              <w:rPr>
                <w:i/>
              </w:rPr>
              <w:t>h</w:t>
            </w:r>
            <w:r>
              <w:t xml:space="preserve"> (</w:t>
            </w:r>
            <m:oMath>
              <m:r>
                <w:rPr>
                  <w:rFonts w:ascii="Cambria Math" w:hAnsi="Cambria Math"/>
                </w:rPr>
                <m:t>∙1</m:t>
              </m:r>
              <m:sSup>
                <m:sSupPr>
                  <m:ctrlPr>
                    <w:rPr>
                      <w:rFonts w:ascii="Cambria Math" w:hAnsi="Cambria Math"/>
                      <w:i/>
                    </w:rPr>
                  </m:ctrlPr>
                </m:sSupPr>
                <m:e>
                  <m:r>
                    <w:rPr>
                      <w:rFonts w:ascii="Cambria Math" w:hAnsi="Cambria Math"/>
                    </w:rPr>
                    <m:t>0</m:t>
                  </m:r>
                </m:e>
                <m:sup>
                  <m:r>
                    <w:rPr>
                      <w:rFonts w:ascii="Cambria Math" w:hAnsi="Cambria Math"/>
                    </w:rPr>
                    <m:t>-3</m:t>
                  </m:r>
                </m:sup>
              </m:sSup>
            </m:oMath>
            <w:r>
              <w:rPr>
                <w:rFonts w:eastAsiaTheme="minorEastAsia"/>
              </w:rPr>
              <w:t xml:space="preserve"> </w:t>
            </w:r>
            <w:r>
              <w:t>m</w:t>
            </w:r>
            <w:r w:rsidRPr="00537854">
              <w:t>)</w:t>
            </w:r>
          </w:p>
        </w:tc>
        <w:tc>
          <w:tcPr>
            <w:tcW w:w="0" w:type="auto"/>
            <w:tcBorders>
              <w:top w:val="single" w:sz="4" w:space="0" w:color="auto"/>
              <w:bottom w:val="single" w:sz="4" w:space="0" w:color="auto"/>
            </w:tcBorders>
            <w:tcMar>
              <w:top w:w="57" w:type="dxa"/>
            </w:tcMar>
            <w:vAlign w:val="center"/>
          </w:tcPr>
          <w:p w:rsidR="0021205F" w:rsidRPr="00537854" w:rsidRDefault="0021205F" w:rsidP="00384E88">
            <w:pPr>
              <w:pStyle w:val="Bntextrga"/>
              <w:spacing w:after="120"/>
              <w:jc w:val="center"/>
            </w:pPr>
            <w:r>
              <w:rPr>
                <w:i/>
              </w:rPr>
              <w:t>l</w:t>
            </w:r>
            <w:r>
              <w:t xml:space="preserve"> (m</w:t>
            </w:r>
            <w:r w:rsidRPr="00537854">
              <w:t>)</w:t>
            </w:r>
          </w:p>
        </w:tc>
        <w:tc>
          <w:tcPr>
            <w:tcW w:w="0" w:type="auto"/>
            <w:tcBorders>
              <w:top w:val="single" w:sz="4" w:space="0" w:color="auto"/>
              <w:bottom w:val="single" w:sz="4" w:space="0" w:color="auto"/>
            </w:tcBorders>
            <w:tcMar>
              <w:top w:w="57" w:type="dxa"/>
            </w:tcMar>
            <w:vAlign w:val="center"/>
          </w:tcPr>
          <w:p w:rsidR="0021205F" w:rsidRPr="005966DC" w:rsidRDefault="0021205F" w:rsidP="00384E88">
            <w:pPr>
              <w:pStyle w:val="Bntextrga"/>
              <w:spacing w:after="120"/>
              <w:jc w:val="center"/>
            </w:pPr>
            <w:r>
              <w:rPr>
                <w:i/>
              </w:rPr>
              <w:t>T</w:t>
            </w:r>
            <w:r>
              <w:t xml:space="preserve"> (s)</w:t>
            </w:r>
          </w:p>
        </w:tc>
        <w:tc>
          <w:tcPr>
            <w:tcW w:w="0" w:type="auto"/>
            <w:tcBorders>
              <w:top w:val="single" w:sz="4" w:space="0" w:color="auto"/>
              <w:bottom w:val="single" w:sz="4" w:space="0" w:color="auto"/>
            </w:tcBorders>
            <w:tcMar>
              <w:top w:w="57" w:type="dxa"/>
            </w:tcMar>
            <w:vAlign w:val="center"/>
          </w:tcPr>
          <w:p w:rsidR="0021205F" w:rsidRPr="00ED7B8F" w:rsidRDefault="0021205F" w:rsidP="00384E88">
            <w:pPr>
              <w:pStyle w:val="Bntextrga"/>
              <w:spacing w:after="120"/>
              <w:jc w:val="center"/>
            </w:pPr>
            <w:r>
              <w:rPr>
                <w:i/>
              </w:rPr>
              <w:t>f</w:t>
            </w:r>
            <w:r>
              <w:t xml:space="preserve"> (Hz)</w:t>
            </w:r>
          </w:p>
        </w:tc>
        <w:tc>
          <w:tcPr>
            <w:tcW w:w="0" w:type="auto"/>
            <w:tcBorders>
              <w:top w:val="single" w:sz="4" w:space="0" w:color="auto"/>
              <w:bottom w:val="single" w:sz="4" w:space="0" w:color="auto"/>
            </w:tcBorders>
            <w:tcMar>
              <w:top w:w="57" w:type="dxa"/>
            </w:tcMar>
            <w:vAlign w:val="center"/>
          </w:tcPr>
          <w:p w:rsidR="0021205F" w:rsidRPr="00ED7B8F" w:rsidRDefault="0021205F" w:rsidP="00384E88">
            <w:pPr>
              <w:pStyle w:val="Bntextrga"/>
              <w:spacing w:after="120"/>
              <w:jc w:val="center"/>
            </w:pPr>
            <w:proofErr w:type="spellStart"/>
            <w:r>
              <w:rPr>
                <w:i/>
              </w:rPr>
              <w:t>E</w:t>
            </w:r>
            <w:r w:rsidRPr="005947BB">
              <w:rPr>
                <w:vertAlign w:val="subscript"/>
              </w:rPr>
              <w:t>exp</w:t>
            </w:r>
            <w:proofErr w:type="spellEnd"/>
            <w:r>
              <w:t xml:space="preserve"> (</w:t>
            </w:r>
            <w:proofErr w:type="spellStart"/>
            <w:r>
              <w:t>GPa</w:t>
            </w:r>
            <w:proofErr w:type="spellEnd"/>
            <w:r>
              <w:t>)</w:t>
            </w:r>
          </w:p>
        </w:tc>
        <w:tc>
          <w:tcPr>
            <w:tcW w:w="0" w:type="auto"/>
            <w:tcBorders>
              <w:top w:val="single" w:sz="4" w:space="0" w:color="auto"/>
              <w:bottom w:val="single" w:sz="4" w:space="0" w:color="auto"/>
            </w:tcBorders>
            <w:tcMar>
              <w:top w:w="57" w:type="dxa"/>
            </w:tcMar>
            <w:vAlign w:val="center"/>
          </w:tcPr>
          <w:p w:rsidR="0021205F" w:rsidRPr="005966DC" w:rsidRDefault="0021205F" w:rsidP="00384E88">
            <w:pPr>
              <w:pStyle w:val="Bntextrga"/>
              <w:spacing w:after="120"/>
              <w:jc w:val="center"/>
              <w:rPr>
                <w:i/>
                <w:vertAlign w:val="superscript"/>
              </w:rPr>
            </w:pPr>
            <w:proofErr w:type="spellStart"/>
            <w:r>
              <w:rPr>
                <w:i/>
              </w:rPr>
              <w:t>E</w:t>
            </w:r>
            <w:r w:rsidRPr="005947BB">
              <w:rPr>
                <w:vertAlign w:val="subscript"/>
              </w:rPr>
              <w:t>tab</w:t>
            </w:r>
            <w:proofErr w:type="spellEnd"/>
            <w:r>
              <w:t xml:space="preserve"> (</w:t>
            </w:r>
            <w:proofErr w:type="spellStart"/>
            <w:r>
              <w:t>GPa</w:t>
            </w:r>
            <w:proofErr w:type="spellEnd"/>
            <w:r>
              <w:t>)</w:t>
            </w:r>
            <w:r>
              <w:rPr>
                <w:vertAlign w:val="superscript"/>
              </w:rPr>
              <w:t>*</w:t>
            </w:r>
          </w:p>
        </w:tc>
      </w:tr>
      <w:tr w:rsidR="0021205F" w:rsidRPr="00537854" w:rsidTr="00384E88">
        <w:trPr>
          <w:trHeight w:val="366"/>
          <w:jc w:val="center"/>
        </w:trPr>
        <w:tc>
          <w:tcPr>
            <w:tcW w:w="0" w:type="auto"/>
            <w:tcBorders>
              <w:top w:val="single" w:sz="4" w:space="0" w:color="auto"/>
            </w:tcBorders>
            <w:vAlign w:val="center"/>
          </w:tcPr>
          <w:p w:rsidR="0021205F" w:rsidRPr="00537854" w:rsidRDefault="0021205F" w:rsidP="00384E88">
            <w:pPr>
              <w:pStyle w:val="Bntextrga"/>
              <w:spacing w:after="120"/>
              <w:jc w:val="center"/>
            </w:pPr>
            <w:r>
              <w:t>nerez</w:t>
            </w:r>
          </w:p>
        </w:tc>
        <w:tc>
          <w:tcPr>
            <w:tcW w:w="0" w:type="auto"/>
            <w:tcBorders>
              <w:top w:val="single" w:sz="4" w:space="0" w:color="auto"/>
            </w:tcBorders>
            <w:vAlign w:val="center"/>
          </w:tcPr>
          <w:p w:rsidR="0021205F" w:rsidRPr="00537854" w:rsidRDefault="0021205F" w:rsidP="00384E88">
            <w:pPr>
              <w:pStyle w:val="Bntextrga"/>
              <w:spacing w:after="120"/>
              <w:jc w:val="center"/>
            </w:pPr>
            <w:r>
              <w:t>7700</w:t>
            </w:r>
          </w:p>
        </w:tc>
        <w:tc>
          <w:tcPr>
            <w:tcW w:w="0" w:type="auto"/>
            <w:tcBorders>
              <w:top w:val="single" w:sz="4" w:space="0" w:color="auto"/>
            </w:tcBorders>
            <w:vAlign w:val="center"/>
          </w:tcPr>
          <w:p w:rsidR="0021205F" w:rsidRPr="00537854" w:rsidRDefault="0021205F" w:rsidP="00384E88">
            <w:pPr>
              <w:pStyle w:val="Bntextrga"/>
              <w:spacing w:after="120"/>
              <w:jc w:val="center"/>
            </w:pPr>
            <w:r>
              <w:t>0,80</w:t>
            </w:r>
          </w:p>
        </w:tc>
        <w:tc>
          <w:tcPr>
            <w:tcW w:w="0" w:type="auto"/>
            <w:tcBorders>
              <w:top w:val="single" w:sz="4" w:space="0" w:color="auto"/>
            </w:tcBorders>
            <w:vAlign w:val="center"/>
          </w:tcPr>
          <w:p w:rsidR="0021205F" w:rsidRPr="00537854" w:rsidRDefault="0021205F" w:rsidP="00384E88">
            <w:pPr>
              <w:pStyle w:val="Bntextrga"/>
              <w:spacing w:after="120"/>
              <w:jc w:val="center"/>
            </w:pPr>
            <w:r>
              <w:t>0,550</w:t>
            </w:r>
          </w:p>
        </w:tc>
        <w:tc>
          <w:tcPr>
            <w:tcW w:w="0" w:type="auto"/>
            <w:tcBorders>
              <w:top w:val="single" w:sz="4" w:space="0" w:color="auto"/>
            </w:tcBorders>
            <w:vAlign w:val="center"/>
          </w:tcPr>
          <w:p w:rsidR="0021205F" w:rsidRPr="00537854" w:rsidRDefault="0021205F" w:rsidP="00384E88">
            <w:pPr>
              <w:pStyle w:val="Bntextrga"/>
              <w:spacing w:after="120"/>
              <w:jc w:val="center"/>
            </w:pPr>
            <w:r>
              <w:t>0,445</w:t>
            </w:r>
          </w:p>
        </w:tc>
        <w:tc>
          <w:tcPr>
            <w:tcW w:w="0" w:type="auto"/>
            <w:tcBorders>
              <w:top w:val="single" w:sz="4" w:space="0" w:color="auto"/>
            </w:tcBorders>
            <w:vAlign w:val="center"/>
          </w:tcPr>
          <w:p w:rsidR="0021205F" w:rsidRPr="00537854" w:rsidRDefault="0021205F" w:rsidP="00384E88">
            <w:pPr>
              <w:pStyle w:val="Bntextrga"/>
              <w:spacing w:after="120"/>
              <w:jc w:val="right"/>
            </w:pPr>
            <w:r>
              <w:t>2,247</w:t>
            </w:r>
          </w:p>
        </w:tc>
        <w:tc>
          <w:tcPr>
            <w:tcW w:w="0" w:type="auto"/>
            <w:tcBorders>
              <w:top w:val="single" w:sz="4" w:space="0" w:color="auto"/>
            </w:tcBorders>
            <w:vAlign w:val="center"/>
          </w:tcPr>
          <w:p w:rsidR="0021205F" w:rsidRPr="00537854" w:rsidRDefault="0021205F" w:rsidP="00384E88">
            <w:pPr>
              <w:pStyle w:val="Bntextrga"/>
              <w:spacing w:after="120"/>
              <w:jc w:val="center"/>
            </w:pPr>
            <w:r>
              <w:t>212</w:t>
            </w:r>
          </w:p>
        </w:tc>
        <w:tc>
          <w:tcPr>
            <w:tcW w:w="0" w:type="auto"/>
            <w:tcBorders>
              <w:top w:val="single" w:sz="4" w:space="0" w:color="auto"/>
            </w:tcBorders>
            <w:vAlign w:val="center"/>
          </w:tcPr>
          <w:p w:rsidR="0021205F" w:rsidRPr="00537854" w:rsidRDefault="0021205F" w:rsidP="00384E88">
            <w:pPr>
              <w:pStyle w:val="Bntextrga"/>
              <w:spacing w:after="120"/>
              <w:jc w:val="center"/>
            </w:pPr>
            <w:r>
              <w:t>210</w:t>
            </w:r>
          </w:p>
        </w:tc>
      </w:tr>
      <w:tr w:rsidR="0021205F" w:rsidRPr="00537854" w:rsidTr="00384E88">
        <w:trPr>
          <w:trHeight w:val="366"/>
          <w:jc w:val="center"/>
        </w:trPr>
        <w:tc>
          <w:tcPr>
            <w:tcW w:w="0" w:type="auto"/>
            <w:vAlign w:val="center"/>
          </w:tcPr>
          <w:p w:rsidR="0021205F" w:rsidRPr="00537854" w:rsidRDefault="0021205F" w:rsidP="00384E88">
            <w:pPr>
              <w:pStyle w:val="Bntextrga"/>
              <w:spacing w:after="120"/>
              <w:jc w:val="center"/>
            </w:pPr>
            <w:r>
              <w:t>nerez</w:t>
            </w:r>
          </w:p>
        </w:tc>
        <w:tc>
          <w:tcPr>
            <w:tcW w:w="0" w:type="auto"/>
            <w:vAlign w:val="center"/>
          </w:tcPr>
          <w:p w:rsidR="0021205F" w:rsidRPr="00537854" w:rsidRDefault="0021205F" w:rsidP="00384E88">
            <w:pPr>
              <w:pStyle w:val="Bntextrga"/>
              <w:spacing w:after="120"/>
              <w:jc w:val="center"/>
            </w:pPr>
            <w:r>
              <w:t>7700</w:t>
            </w:r>
          </w:p>
        </w:tc>
        <w:tc>
          <w:tcPr>
            <w:tcW w:w="0" w:type="auto"/>
            <w:vAlign w:val="center"/>
          </w:tcPr>
          <w:p w:rsidR="0021205F" w:rsidRPr="00537854" w:rsidRDefault="0021205F" w:rsidP="00384E88">
            <w:pPr>
              <w:pStyle w:val="Bntextrga"/>
              <w:spacing w:after="120"/>
              <w:jc w:val="center"/>
            </w:pPr>
            <w:r>
              <w:t>0,80</w:t>
            </w:r>
          </w:p>
        </w:tc>
        <w:tc>
          <w:tcPr>
            <w:tcW w:w="0" w:type="auto"/>
            <w:vAlign w:val="center"/>
          </w:tcPr>
          <w:p w:rsidR="0021205F" w:rsidRPr="00537854" w:rsidRDefault="0021205F" w:rsidP="00384E88">
            <w:pPr>
              <w:pStyle w:val="Bntextrga"/>
              <w:spacing w:after="120"/>
              <w:jc w:val="center"/>
            </w:pPr>
            <w:r>
              <w:t>0,360</w:t>
            </w:r>
          </w:p>
        </w:tc>
        <w:tc>
          <w:tcPr>
            <w:tcW w:w="0" w:type="auto"/>
            <w:vAlign w:val="center"/>
          </w:tcPr>
          <w:p w:rsidR="0021205F" w:rsidRPr="00537854" w:rsidRDefault="0021205F" w:rsidP="00384E88">
            <w:pPr>
              <w:pStyle w:val="Bntextrga"/>
              <w:spacing w:after="120"/>
              <w:jc w:val="center"/>
            </w:pPr>
            <w:r>
              <w:t>0,192</w:t>
            </w:r>
          </w:p>
        </w:tc>
        <w:tc>
          <w:tcPr>
            <w:tcW w:w="0" w:type="auto"/>
            <w:vAlign w:val="center"/>
          </w:tcPr>
          <w:p w:rsidR="0021205F" w:rsidRPr="00537854" w:rsidRDefault="0021205F" w:rsidP="00384E88">
            <w:pPr>
              <w:pStyle w:val="Bntextrga"/>
              <w:spacing w:after="120"/>
              <w:jc w:val="right"/>
            </w:pPr>
            <w:r>
              <w:t>5,208</w:t>
            </w:r>
          </w:p>
        </w:tc>
        <w:tc>
          <w:tcPr>
            <w:tcW w:w="0" w:type="auto"/>
            <w:vAlign w:val="center"/>
          </w:tcPr>
          <w:p w:rsidR="0021205F" w:rsidRPr="00537854" w:rsidRDefault="0021205F" w:rsidP="00384E88">
            <w:pPr>
              <w:pStyle w:val="Bntextrga"/>
              <w:spacing w:after="120"/>
              <w:jc w:val="center"/>
            </w:pPr>
            <w:r>
              <w:t>209</w:t>
            </w:r>
          </w:p>
        </w:tc>
        <w:tc>
          <w:tcPr>
            <w:tcW w:w="0" w:type="auto"/>
            <w:vAlign w:val="center"/>
          </w:tcPr>
          <w:p w:rsidR="0021205F" w:rsidRPr="00537854" w:rsidRDefault="0021205F" w:rsidP="00384E88">
            <w:pPr>
              <w:pStyle w:val="Bntextrga"/>
              <w:spacing w:after="120"/>
              <w:jc w:val="center"/>
            </w:pPr>
            <w:r>
              <w:t>210</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nerez</w:t>
            </w:r>
          </w:p>
        </w:tc>
        <w:tc>
          <w:tcPr>
            <w:tcW w:w="0" w:type="auto"/>
            <w:vAlign w:val="center"/>
          </w:tcPr>
          <w:p w:rsidR="0021205F" w:rsidRPr="00537854" w:rsidRDefault="0021205F" w:rsidP="00384E88">
            <w:pPr>
              <w:pStyle w:val="Bntextrga"/>
              <w:spacing w:after="120"/>
              <w:jc w:val="center"/>
            </w:pPr>
            <w:r>
              <w:t>7700</w:t>
            </w:r>
          </w:p>
        </w:tc>
        <w:tc>
          <w:tcPr>
            <w:tcW w:w="0" w:type="auto"/>
            <w:vAlign w:val="center"/>
          </w:tcPr>
          <w:p w:rsidR="0021205F" w:rsidRPr="00537854" w:rsidRDefault="0021205F" w:rsidP="00384E88">
            <w:pPr>
              <w:pStyle w:val="Bntextrga"/>
              <w:spacing w:after="120"/>
              <w:jc w:val="center"/>
            </w:pPr>
            <w:r>
              <w:t>0,80</w:t>
            </w:r>
          </w:p>
        </w:tc>
        <w:tc>
          <w:tcPr>
            <w:tcW w:w="0" w:type="auto"/>
            <w:vAlign w:val="center"/>
          </w:tcPr>
          <w:p w:rsidR="0021205F" w:rsidRDefault="0021205F" w:rsidP="00384E88">
            <w:pPr>
              <w:pStyle w:val="Bntextrga"/>
              <w:spacing w:after="120"/>
              <w:jc w:val="center"/>
            </w:pPr>
            <w:r>
              <w:t>0,220</w:t>
            </w:r>
          </w:p>
        </w:tc>
        <w:tc>
          <w:tcPr>
            <w:tcW w:w="0" w:type="auto"/>
            <w:vAlign w:val="center"/>
          </w:tcPr>
          <w:p w:rsidR="0021205F" w:rsidRDefault="0021205F" w:rsidP="00384E88">
            <w:pPr>
              <w:pStyle w:val="Bntextrga"/>
              <w:spacing w:after="120"/>
              <w:jc w:val="center"/>
            </w:pPr>
            <w:r>
              <w:t>0,078</w:t>
            </w:r>
          </w:p>
        </w:tc>
        <w:tc>
          <w:tcPr>
            <w:tcW w:w="0" w:type="auto"/>
            <w:vAlign w:val="center"/>
          </w:tcPr>
          <w:p w:rsidR="0021205F" w:rsidRDefault="0021205F" w:rsidP="00384E88">
            <w:pPr>
              <w:pStyle w:val="Bntextrga"/>
              <w:spacing w:after="120"/>
              <w:jc w:val="right"/>
            </w:pPr>
            <w:r>
              <w:t>12,821</w:t>
            </w:r>
          </w:p>
        </w:tc>
        <w:tc>
          <w:tcPr>
            <w:tcW w:w="0" w:type="auto"/>
            <w:vAlign w:val="center"/>
          </w:tcPr>
          <w:p w:rsidR="0021205F" w:rsidRDefault="0021205F" w:rsidP="00384E88">
            <w:pPr>
              <w:pStyle w:val="Bntextrga"/>
              <w:spacing w:after="120"/>
              <w:jc w:val="center"/>
            </w:pPr>
            <w:r>
              <w:t>177</w:t>
            </w:r>
          </w:p>
        </w:tc>
        <w:tc>
          <w:tcPr>
            <w:tcW w:w="0" w:type="auto"/>
            <w:vAlign w:val="center"/>
          </w:tcPr>
          <w:p w:rsidR="0021205F" w:rsidRDefault="0021205F" w:rsidP="00384E88">
            <w:pPr>
              <w:pStyle w:val="Bntextrga"/>
              <w:spacing w:after="120"/>
              <w:jc w:val="center"/>
            </w:pPr>
            <w:r>
              <w:t>210</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nerez</w:t>
            </w:r>
          </w:p>
        </w:tc>
        <w:tc>
          <w:tcPr>
            <w:tcW w:w="0" w:type="auto"/>
            <w:vAlign w:val="center"/>
          </w:tcPr>
          <w:p w:rsidR="0021205F" w:rsidRPr="00537854" w:rsidRDefault="0021205F" w:rsidP="00384E88">
            <w:pPr>
              <w:pStyle w:val="Bntextrga"/>
              <w:spacing w:after="120"/>
              <w:jc w:val="center"/>
            </w:pPr>
            <w:r>
              <w:t>7700</w:t>
            </w:r>
          </w:p>
        </w:tc>
        <w:tc>
          <w:tcPr>
            <w:tcW w:w="0" w:type="auto"/>
            <w:vAlign w:val="center"/>
          </w:tcPr>
          <w:p w:rsidR="0021205F" w:rsidRPr="00537854" w:rsidRDefault="0021205F" w:rsidP="00384E88">
            <w:pPr>
              <w:pStyle w:val="Bntextrga"/>
              <w:spacing w:after="120"/>
              <w:jc w:val="center"/>
            </w:pPr>
            <w:r>
              <w:t>1,25</w:t>
            </w:r>
          </w:p>
        </w:tc>
        <w:tc>
          <w:tcPr>
            <w:tcW w:w="0" w:type="auto"/>
            <w:vAlign w:val="center"/>
          </w:tcPr>
          <w:p w:rsidR="0021205F" w:rsidRDefault="0021205F" w:rsidP="00384E88">
            <w:pPr>
              <w:pStyle w:val="Bntextrga"/>
              <w:spacing w:after="120"/>
              <w:jc w:val="center"/>
            </w:pPr>
            <w:r>
              <w:t>0,765</w:t>
            </w:r>
          </w:p>
        </w:tc>
        <w:tc>
          <w:tcPr>
            <w:tcW w:w="0" w:type="auto"/>
            <w:vAlign w:val="center"/>
          </w:tcPr>
          <w:p w:rsidR="0021205F" w:rsidRDefault="0021205F" w:rsidP="00384E88">
            <w:pPr>
              <w:pStyle w:val="Bntextrga"/>
              <w:spacing w:after="120"/>
              <w:jc w:val="center"/>
            </w:pPr>
            <w:r>
              <w:t>0,602</w:t>
            </w:r>
          </w:p>
        </w:tc>
        <w:tc>
          <w:tcPr>
            <w:tcW w:w="0" w:type="auto"/>
            <w:vAlign w:val="center"/>
          </w:tcPr>
          <w:p w:rsidR="0021205F" w:rsidRDefault="0021205F" w:rsidP="00384E88">
            <w:pPr>
              <w:pStyle w:val="Bntextrga"/>
              <w:spacing w:after="120"/>
              <w:jc w:val="right"/>
            </w:pPr>
            <w:r>
              <w:t>1,661</w:t>
            </w:r>
          </w:p>
        </w:tc>
        <w:tc>
          <w:tcPr>
            <w:tcW w:w="0" w:type="auto"/>
            <w:vAlign w:val="center"/>
          </w:tcPr>
          <w:p w:rsidR="0021205F" w:rsidRDefault="0021205F" w:rsidP="00384E88">
            <w:pPr>
              <w:pStyle w:val="Bntextrga"/>
              <w:spacing w:after="120"/>
              <w:jc w:val="center"/>
            </w:pPr>
            <w:r>
              <w:t>178</w:t>
            </w:r>
          </w:p>
        </w:tc>
        <w:tc>
          <w:tcPr>
            <w:tcW w:w="0" w:type="auto"/>
            <w:vAlign w:val="center"/>
          </w:tcPr>
          <w:p w:rsidR="0021205F" w:rsidRDefault="0021205F" w:rsidP="00384E88">
            <w:pPr>
              <w:pStyle w:val="Bntextrga"/>
              <w:spacing w:after="120"/>
              <w:jc w:val="center"/>
            </w:pPr>
            <w:r>
              <w:t>210</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měď</w:t>
            </w:r>
          </w:p>
        </w:tc>
        <w:tc>
          <w:tcPr>
            <w:tcW w:w="0" w:type="auto"/>
            <w:vAlign w:val="center"/>
          </w:tcPr>
          <w:p w:rsidR="0021205F" w:rsidRPr="00537854" w:rsidRDefault="0021205F" w:rsidP="00384E88">
            <w:pPr>
              <w:pStyle w:val="Bntextrga"/>
              <w:spacing w:after="120"/>
              <w:jc w:val="center"/>
            </w:pPr>
            <w:r>
              <w:t>8960</w:t>
            </w:r>
          </w:p>
        </w:tc>
        <w:tc>
          <w:tcPr>
            <w:tcW w:w="0" w:type="auto"/>
            <w:vAlign w:val="center"/>
          </w:tcPr>
          <w:p w:rsidR="0021205F" w:rsidRPr="00537854" w:rsidRDefault="0021205F" w:rsidP="00384E88">
            <w:pPr>
              <w:pStyle w:val="Bntextrga"/>
              <w:spacing w:after="120"/>
              <w:jc w:val="center"/>
            </w:pPr>
            <w:r>
              <w:t>0,45</w:t>
            </w:r>
          </w:p>
        </w:tc>
        <w:tc>
          <w:tcPr>
            <w:tcW w:w="0" w:type="auto"/>
            <w:vAlign w:val="center"/>
          </w:tcPr>
          <w:p w:rsidR="0021205F" w:rsidRDefault="0021205F" w:rsidP="00384E88">
            <w:pPr>
              <w:pStyle w:val="Bntextrga"/>
              <w:spacing w:after="120"/>
              <w:jc w:val="center"/>
            </w:pPr>
            <w:r>
              <w:t>0,115</w:t>
            </w:r>
          </w:p>
        </w:tc>
        <w:tc>
          <w:tcPr>
            <w:tcW w:w="0" w:type="auto"/>
            <w:vAlign w:val="center"/>
          </w:tcPr>
          <w:p w:rsidR="0021205F" w:rsidRDefault="0021205F" w:rsidP="00384E88">
            <w:pPr>
              <w:pStyle w:val="Bntextrga"/>
              <w:spacing w:after="120"/>
              <w:jc w:val="center"/>
            </w:pPr>
            <w:r>
              <w:t>0,052</w:t>
            </w:r>
          </w:p>
        </w:tc>
        <w:tc>
          <w:tcPr>
            <w:tcW w:w="0" w:type="auto"/>
            <w:vAlign w:val="center"/>
          </w:tcPr>
          <w:p w:rsidR="0021205F" w:rsidRDefault="0021205F" w:rsidP="00384E88">
            <w:pPr>
              <w:pStyle w:val="Bntextrga"/>
              <w:spacing w:after="120"/>
              <w:jc w:val="right"/>
            </w:pPr>
            <w:r>
              <w:t>19,231</w:t>
            </w:r>
          </w:p>
        </w:tc>
        <w:tc>
          <w:tcPr>
            <w:tcW w:w="0" w:type="auto"/>
            <w:vAlign w:val="center"/>
          </w:tcPr>
          <w:p w:rsidR="0021205F" w:rsidRDefault="0021205F" w:rsidP="00384E88">
            <w:pPr>
              <w:pStyle w:val="Bntextrga"/>
              <w:spacing w:after="120"/>
              <w:jc w:val="center"/>
            </w:pPr>
            <w:r>
              <w:t>109</w:t>
            </w:r>
          </w:p>
        </w:tc>
        <w:tc>
          <w:tcPr>
            <w:tcW w:w="0" w:type="auto"/>
            <w:vAlign w:val="center"/>
          </w:tcPr>
          <w:p w:rsidR="0021205F" w:rsidRDefault="0021205F" w:rsidP="00384E88">
            <w:pPr>
              <w:pStyle w:val="Bntextrga"/>
              <w:spacing w:after="120"/>
              <w:jc w:val="center"/>
            </w:pPr>
            <w:r>
              <w:t>120 – 130</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měď</w:t>
            </w:r>
          </w:p>
        </w:tc>
        <w:tc>
          <w:tcPr>
            <w:tcW w:w="0" w:type="auto"/>
            <w:vAlign w:val="center"/>
          </w:tcPr>
          <w:p w:rsidR="0021205F" w:rsidRPr="00537854" w:rsidRDefault="0021205F" w:rsidP="00384E88">
            <w:pPr>
              <w:pStyle w:val="Bntextrga"/>
              <w:spacing w:after="120"/>
              <w:jc w:val="center"/>
            </w:pPr>
            <w:r>
              <w:t>8960</w:t>
            </w:r>
          </w:p>
        </w:tc>
        <w:tc>
          <w:tcPr>
            <w:tcW w:w="0" w:type="auto"/>
            <w:vAlign w:val="center"/>
          </w:tcPr>
          <w:p w:rsidR="0021205F" w:rsidRPr="00537854" w:rsidRDefault="0021205F" w:rsidP="00384E88">
            <w:pPr>
              <w:pStyle w:val="Bntextrga"/>
              <w:spacing w:after="120"/>
              <w:jc w:val="center"/>
            </w:pPr>
            <w:r>
              <w:t>0,45</w:t>
            </w:r>
          </w:p>
        </w:tc>
        <w:tc>
          <w:tcPr>
            <w:tcW w:w="0" w:type="auto"/>
            <w:vAlign w:val="center"/>
          </w:tcPr>
          <w:p w:rsidR="0021205F" w:rsidRDefault="0021205F" w:rsidP="00384E88">
            <w:pPr>
              <w:pStyle w:val="Bntextrga"/>
              <w:spacing w:after="120"/>
              <w:jc w:val="center"/>
            </w:pPr>
            <w:r>
              <w:t>0,193</w:t>
            </w:r>
          </w:p>
        </w:tc>
        <w:tc>
          <w:tcPr>
            <w:tcW w:w="0" w:type="auto"/>
            <w:vAlign w:val="center"/>
          </w:tcPr>
          <w:p w:rsidR="0021205F" w:rsidRDefault="0021205F" w:rsidP="00384E88">
            <w:pPr>
              <w:pStyle w:val="Bntextrga"/>
              <w:spacing w:after="120"/>
              <w:jc w:val="center"/>
            </w:pPr>
            <w:r>
              <w:t>0,140</w:t>
            </w:r>
          </w:p>
        </w:tc>
        <w:tc>
          <w:tcPr>
            <w:tcW w:w="0" w:type="auto"/>
            <w:vAlign w:val="center"/>
          </w:tcPr>
          <w:p w:rsidR="0021205F" w:rsidRDefault="0021205F" w:rsidP="00384E88">
            <w:pPr>
              <w:pStyle w:val="Bntextrga"/>
              <w:spacing w:after="120"/>
              <w:jc w:val="right"/>
            </w:pPr>
            <w:r>
              <w:t>7,143</w:t>
            </w:r>
          </w:p>
        </w:tc>
        <w:tc>
          <w:tcPr>
            <w:tcW w:w="0" w:type="auto"/>
            <w:vAlign w:val="center"/>
          </w:tcPr>
          <w:p w:rsidR="0021205F" w:rsidRDefault="0021205F" w:rsidP="00384E88">
            <w:pPr>
              <w:pStyle w:val="Bntextrga"/>
              <w:spacing w:after="120"/>
              <w:jc w:val="center"/>
            </w:pPr>
            <w:r>
              <w:t>120</w:t>
            </w:r>
          </w:p>
        </w:tc>
        <w:tc>
          <w:tcPr>
            <w:tcW w:w="0" w:type="auto"/>
            <w:vAlign w:val="center"/>
          </w:tcPr>
          <w:p w:rsidR="0021205F" w:rsidRDefault="0021205F" w:rsidP="00384E88">
            <w:pPr>
              <w:pStyle w:val="Bntextrga"/>
              <w:spacing w:after="120"/>
              <w:jc w:val="center"/>
            </w:pPr>
            <w:r>
              <w:t>120 – 130</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ocel</w:t>
            </w:r>
          </w:p>
        </w:tc>
        <w:tc>
          <w:tcPr>
            <w:tcW w:w="0" w:type="auto"/>
            <w:vAlign w:val="center"/>
          </w:tcPr>
          <w:p w:rsidR="0021205F" w:rsidRPr="00537854" w:rsidRDefault="0021205F" w:rsidP="00384E88">
            <w:pPr>
              <w:pStyle w:val="Bntextrga"/>
              <w:spacing w:after="120"/>
              <w:jc w:val="center"/>
            </w:pPr>
            <w:r>
              <w:t>8000</w:t>
            </w:r>
          </w:p>
        </w:tc>
        <w:tc>
          <w:tcPr>
            <w:tcW w:w="0" w:type="auto"/>
            <w:vAlign w:val="center"/>
          </w:tcPr>
          <w:p w:rsidR="0021205F" w:rsidRPr="00537854" w:rsidRDefault="0021205F" w:rsidP="00384E88">
            <w:pPr>
              <w:pStyle w:val="Bntextrga"/>
              <w:spacing w:after="120"/>
              <w:jc w:val="center"/>
            </w:pPr>
            <w:r>
              <w:t>0,90</w:t>
            </w:r>
          </w:p>
        </w:tc>
        <w:tc>
          <w:tcPr>
            <w:tcW w:w="0" w:type="auto"/>
            <w:vAlign w:val="center"/>
          </w:tcPr>
          <w:p w:rsidR="0021205F" w:rsidRDefault="0021205F" w:rsidP="00384E88">
            <w:pPr>
              <w:pStyle w:val="Bntextrga"/>
              <w:spacing w:after="120"/>
              <w:jc w:val="center"/>
            </w:pPr>
            <w:r>
              <w:t>0,142</w:t>
            </w:r>
          </w:p>
        </w:tc>
        <w:tc>
          <w:tcPr>
            <w:tcW w:w="0" w:type="auto"/>
            <w:vAlign w:val="center"/>
          </w:tcPr>
          <w:p w:rsidR="0021205F" w:rsidRDefault="0021205F" w:rsidP="00384E88">
            <w:pPr>
              <w:pStyle w:val="Bntextrga"/>
              <w:spacing w:after="120"/>
              <w:jc w:val="center"/>
            </w:pPr>
            <w:r>
              <w:t>0,029</w:t>
            </w:r>
          </w:p>
        </w:tc>
        <w:tc>
          <w:tcPr>
            <w:tcW w:w="0" w:type="auto"/>
            <w:vAlign w:val="center"/>
          </w:tcPr>
          <w:p w:rsidR="0021205F" w:rsidRDefault="0021205F" w:rsidP="00384E88">
            <w:pPr>
              <w:pStyle w:val="Bntextrga"/>
              <w:spacing w:after="120"/>
              <w:jc w:val="right"/>
            </w:pPr>
            <w:r>
              <w:t>34,483</w:t>
            </w:r>
          </w:p>
        </w:tc>
        <w:tc>
          <w:tcPr>
            <w:tcW w:w="0" w:type="auto"/>
            <w:vAlign w:val="center"/>
          </w:tcPr>
          <w:p w:rsidR="0021205F" w:rsidRDefault="0021205F" w:rsidP="00384E88">
            <w:pPr>
              <w:pStyle w:val="Bntextrga"/>
              <w:spacing w:after="120"/>
              <w:jc w:val="center"/>
            </w:pPr>
            <w:r>
              <w:t>182</w:t>
            </w:r>
          </w:p>
        </w:tc>
        <w:tc>
          <w:tcPr>
            <w:tcW w:w="0" w:type="auto"/>
            <w:vAlign w:val="center"/>
          </w:tcPr>
          <w:p w:rsidR="0021205F" w:rsidRDefault="0021205F" w:rsidP="00384E88">
            <w:pPr>
              <w:pStyle w:val="Bntextrga"/>
              <w:spacing w:after="120"/>
              <w:jc w:val="center"/>
            </w:pPr>
            <w:r>
              <w:t>206</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ocel</w:t>
            </w:r>
          </w:p>
        </w:tc>
        <w:tc>
          <w:tcPr>
            <w:tcW w:w="0" w:type="auto"/>
            <w:vAlign w:val="center"/>
          </w:tcPr>
          <w:p w:rsidR="0021205F" w:rsidRPr="00537854" w:rsidRDefault="0021205F" w:rsidP="00384E88">
            <w:pPr>
              <w:pStyle w:val="Bntextrga"/>
              <w:spacing w:after="120"/>
              <w:jc w:val="center"/>
            </w:pPr>
            <w:r>
              <w:t>8000</w:t>
            </w:r>
          </w:p>
        </w:tc>
        <w:tc>
          <w:tcPr>
            <w:tcW w:w="0" w:type="auto"/>
            <w:vAlign w:val="center"/>
          </w:tcPr>
          <w:p w:rsidR="0021205F" w:rsidRPr="00537854" w:rsidRDefault="0021205F" w:rsidP="00384E88">
            <w:pPr>
              <w:pStyle w:val="Bntextrga"/>
              <w:spacing w:after="120"/>
              <w:jc w:val="center"/>
            </w:pPr>
            <w:r>
              <w:t>0,90</w:t>
            </w:r>
          </w:p>
        </w:tc>
        <w:tc>
          <w:tcPr>
            <w:tcW w:w="0" w:type="auto"/>
            <w:vAlign w:val="center"/>
          </w:tcPr>
          <w:p w:rsidR="0021205F" w:rsidRDefault="0021205F" w:rsidP="00384E88">
            <w:pPr>
              <w:pStyle w:val="Bntextrga"/>
              <w:spacing w:after="120"/>
              <w:jc w:val="center"/>
            </w:pPr>
            <w:r>
              <w:t>0,220</w:t>
            </w:r>
          </w:p>
        </w:tc>
        <w:tc>
          <w:tcPr>
            <w:tcW w:w="0" w:type="auto"/>
            <w:vAlign w:val="center"/>
          </w:tcPr>
          <w:p w:rsidR="0021205F" w:rsidRDefault="0021205F" w:rsidP="00384E88">
            <w:pPr>
              <w:pStyle w:val="Bntextrga"/>
              <w:spacing w:after="120"/>
              <w:jc w:val="center"/>
            </w:pPr>
            <w:r>
              <w:t>0,067</w:t>
            </w:r>
          </w:p>
        </w:tc>
        <w:tc>
          <w:tcPr>
            <w:tcW w:w="0" w:type="auto"/>
            <w:vAlign w:val="center"/>
          </w:tcPr>
          <w:p w:rsidR="0021205F" w:rsidRDefault="0021205F" w:rsidP="00384E88">
            <w:pPr>
              <w:pStyle w:val="Bntextrga"/>
              <w:spacing w:after="120"/>
              <w:jc w:val="right"/>
            </w:pPr>
            <w:r>
              <w:t>14,925</w:t>
            </w:r>
          </w:p>
        </w:tc>
        <w:tc>
          <w:tcPr>
            <w:tcW w:w="0" w:type="auto"/>
            <w:vAlign w:val="center"/>
          </w:tcPr>
          <w:p w:rsidR="0021205F" w:rsidRDefault="0021205F" w:rsidP="00384E88">
            <w:pPr>
              <w:pStyle w:val="Bntextrga"/>
              <w:spacing w:after="120"/>
              <w:jc w:val="center"/>
            </w:pPr>
            <w:r>
              <w:t>197</w:t>
            </w:r>
          </w:p>
        </w:tc>
        <w:tc>
          <w:tcPr>
            <w:tcW w:w="0" w:type="auto"/>
            <w:vAlign w:val="center"/>
          </w:tcPr>
          <w:p w:rsidR="0021205F" w:rsidRDefault="0021205F" w:rsidP="00384E88">
            <w:pPr>
              <w:pStyle w:val="Bntextrga"/>
              <w:spacing w:after="120"/>
              <w:jc w:val="center"/>
            </w:pPr>
            <w:r>
              <w:t>206</w:t>
            </w:r>
          </w:p>
        </w:tc>
      </w:tr>
      <w:tr w:rsidR="0021205F" w:rsidRPr="00537854" w:rsidTr="00384E88">
        <w:trPr>
          <w:trHeight w:val="366"/>
          <w:jc w:val="center"/>
        </w:trPr>
        <w:tc>
          <w:tcPr>
            <w:tcW w:w="0" w:type="auto"/>
            <w:vAlign w:val="center"/>
          </w:tcPr>
          <w:p w:rsidR="0021205F" w:rsidRDefault="0021205F" w:rsidP="00384E88">
            <w:pPr>
              <w:pStyle w:val="Bntextrga"/>
              <w:spacing w:after="120"/>
              <w:jc w:val="center"/>
            </w:pPr>
            <w:r>
              <w:t>dřevo</w:t>
            </w:r>
          </w:p>
        </w:tc>
        <w:tc>
          <w:tcPr>
            <w:tcW w:w="0" w:type="auto"/>
            <w:vAlign w:val="center"/>
          </w:tcPr>
          <w:p w:rsidR="0021205F" w:rsidRPr="00537854" w:rsidRDefault="0021205F" w:rsidP="00384E88">
            <w:pPr>
              <w:pStyle w:val="Bntextrga"/>
              <w:spacing w:after="120"/>
              <w:jc w:val="center"/>
            </w:pPr>
            <w:r>
              <w:t>500</w:t>
            </w:r>
          </w:p>
        </w:tc>
        <w:tc>
          <w:tcPr>
            <w:tcW w:w="0" w:type="auto"/>
            <w:vAlign w:val="center"/>
          </w:tcPr>
          <w:p w:rsidR="0021205F" w:rsidRPr="00537854" w:rsidRDefault="0021205F" w:rsidP="00384E88">
            <w:pPr>
              <w:pStyle w:val="Bntextrga"/>
              <w:spacing w:after="120"/>
              <w:jc w:val="center"/>
            </w:pPr>
            <w:r>
              <w:t>4,10</w:t>
            </w:r>
          </w:p>
        </w:tc>
        <w:tc>
          <w:tcPr>
            <w:tcW w:w="0" w:type="auto"/>
            <w:vAlign w:val="center"/>
          </w:tcPr>
          <w:p w:rsidR="0021205F" w:rsidRDefault="0021205F" w:rsidP="00384E88">
            <w:pPr>
              <w:pStyle w:val="Bntextrga"/>
              <w:spacing w:after="120"/>
              <w:jc w:val="center"/>
            </w:pPr>
            <w:r>
              <w:t>0,820</w:t>
            </w:r>
          </w:p>
        </w:tc>
        <w:tc>
          <w:tcPr>
            <w:tcW w:w="0" w:type="auto"/>
            <w:vAlign w:val="center"/>
          </w:tcPr>
          <w:p w:rsidR="0021205F" w:rsidRDefault="0021205F" w:rsidP="00384E88">
            <w:pPr>
              <w:pStyle w:val="Bntextrga"/>
              <w:spacing w:after="120"/>
              <w:jc w:val="center"/>
            </w:pPr>
            <w:r>
              <w:t>0,258</w:t>
            </w:r>
          </w:p>
        </w:tc>
        <w:tc>
          <w:tcPr>
            <w:tcW w:w="0" w:type="auto"/>
            <w:vAlign w:val="center"/>
          </w:tcPr>
          <w:p w:rsidR="0021205F" w:rsidRDefault="0021205F" w:rsidP="00384E88">
            <w:pPr>
              <w:pStyle w:val="Bntextrga"/>
              <w:spacing w:after="120"/>
              <w:jc w:val="right"/>
            </w:pPr>
            <w:r>
              <w:t>3,876</w:t>
            </w:r>
          </w:p>
        </w:tc>
        <w:tc>
          <w:tcPr>
            <w:tcW w:w="0" w:type="auto"/>
            <w:vAlign w:val="center"/>
          </w:tcPr>
          <w:p w:rsidR="0021205F" w:rsidRDefault="0021205F" w:rsidP="00384E88">
            <w:pPr>
              <w:pStyle w:val="Bntextrga"/>
              <w:spacing w:after="120"/>
              <w:jc w:val="center"/>
            </w:pPr>
            <w:r>
              <w:t>8</w:t>
            </w:r>
          </w:p>
        </w:tc>
        <w:tc>
          <w:tcPr>
            <w:tcW w:w="0" w:type="auto"/>
            <w:vAlign w:val="center"/>
          </w:tcPr>
          <w:p w:rsidR="0021205F" w:rsidRDefault="0021205F" w:rsidP="00384E88">
            <w:pPr>
              <w:pStyle w:val="Bntextrga"/>
              <w:spacing w:after="120"/>
              <w:jc w:val="center"/>
            </w:pPr>
            <w:r>
              <w:t>7 – 14</w:t>
            </w:r>
          </w:p>
        </w:tc>
      </w:tr>
      <w:tr w:rsidR="0021205F" w:rsidRPr="00537854" w:rsidTr="00384E88">
        <w:trPr>
          <w:trHeight w:val="366"/>
          <w:jc w:val="center"/>
        </w:trPr>
        <w:tc>
          <w:tcPr>
            <w:tcW w:w="0" w:type="auto"/>
            <w:tcBorders>
              <w:bottom w:val="single" w:sz="4" w:space="0" w:color="auto"/>
            </w:tcBorders>
            <w:vAlign w:val="center"/>
          </w:tcPr>
          <w:p w:rsidR="0021205F" w:rsidRDefault="0021205F" w:rsidP="00384E88">
            <w:pPr>
              <w:pStyle w:val="Bntextrga"/>
              <w:spacing w:after="120"/>
              <w:jc w:val="center"/>
            </w:pPr>
            <w:r>
              <w:t>plast</w:t>
            </w:r>
          </w:p>
        </w:tc>
        <w:tc>
          <w:tcPr>
            <w:tcW w:w="0" w:type="auto"/>
            <w:tcBorders>
              <w:bottom w:val="single" w:sz="4" w:space="0" w:color="auto"/>
            </w:tcBorders>
            <w:vAlign w:val="center"/>
          </w:tcPr>
          <w:p w:rsidR="0021205F" w:rsidRPr="00537854" w:rsidRDefault="0021205F" w:rsidP="00384E88">
            <w:pPr>
              <w:pStyle w:val="Bntextrga"/>
              <w:spacing w:after="120"/>
              <w:jc w:val="center"/>
            </w:pPr>
            <w:r>
              <w:t>1350</w:t>
            </w:r>
          </w:p>
        </w:tc>
        <w:tc>
          <w:tcPr>
            <w:tcW w:w="0" w:type="auto"/>
            <w:tcBorders>
              <w:bottom w:val="single" w:sz="4" w:space="0" w:color="auto"/>
            </w:tcBorders>
            <w:vAlign w:val="center"/>
          </w:tcPr>
          <w:p w:rsidR="0021205F" w:rsidRPr="00537854" w:rsidRDefault="0021205F" w:rsidP="00384E88">
            <w:pPr>
              <w:pStyle w:val="Bntextrga"/>
              <w:spacing w:after="120"/>
              <w:jc w:val="center"/>
            </w:pPr>
            <w:r>
              <w:t>1,10</w:t>
            </w:r>
          </w:p>
        </w:tc>
        <w:tc>
          <w:tcPr>
            <w:tcW w:w="0" w:type="auto"/>
            <w:tcBorders>
              <w:bottom w:val="single" w:sz="4" w:space="0" w:color="auto"/>
            </w:tcBorders>
            <w:vAlign w:val="center"/>
          </w:tcPr>
          <w:p w:rsidR="0021205F" w:rsidRDefault="0021205F" w:rsidP="00384E88">
            <w:pPr>
              <w:pStyle w:val="Bntextrga"/>
              <w:spacing w:after="120"/>
              <w:jc w:val="center"/>
            </w:pPr>
            <w:r>
              <w:t>0,163</w:t>
            </w:r>
          </w:p>
        </w:tc>
        <w:tc>
          <w:tcPr>
            <w:tcW w:w="0" w:type="auto"/>
            <w:tcBorders>
              <w:bottom w:val="single" w:sz="4" w:space="0" w:color="auto"/>
            </w:tcBorders>
            <w:vAlign w:val="center"/>
          </w:tcPr>
          <w:p w:rsidR="0021205F" w:rsidRDefault="0021205F" w:rsidP="00384E88">
            <w:pPr>
              <w:pStyle w:val="Bntextrga"/>
              <w:spacing w:after="120"/>
              <w:jc w:val="center"/>
            </w:pPr>
            <w:r>
              <w:t>0,095</w:t>
            </w:r>
          </w:p>
        </w:tc>
        <w:tc>
          <w:tcPr>
            <w:tcW w:w="0" w:type="auto"/>
            <w:tcBorders>
              <w:bottom w:val="single" w:sz="4" w:space="0" w:color="auto"/>
            </w:tcBorders>
            <w:vAlign w:val="center"/>
          </w:tcPr>
          <w:p w:rsidR="0021205F" w:rsidRDefault="0021205F" w:rsidP="00384E88">
            <w:pPr>
              <w:pStyle w:val="Bntextrga"/>
              <w:spacing w:after="120"/>
              <w:jc w:val="right"/>
            </w:pPr>
            <w:r>
              <w:t>10,526</w:t>
            </w:r>
          </w:p>
        </w:tc>
        <w:tc>
          <w:tcPr>
            <w:tcW w:w="0" w:type="auto"/>
            <w:tcBorders>
              <w:bottom w:val="single" w:sz="4" w:space="0" w:color="auto"/>
            </w:tcBorders>
            <w:vAlign w:val="center"/>
          </w:tcPr>
          <w:p w:rsidR="0021205F" w:rsidRDefault="0021205F" w:rsidP="00384E88">
            <w:pPr>
              <w:pStyle w:val="Bntextrga"/>
              <w:spacing w:after="120"/>
              <w:jc w:val="center"/>
            </w:pPr>
            <w:r>
              <w:t>3</w:t>
            </w:r>
          </w:p>
        </w:tc>
        <w:tc>
          <w:tcPr>
            <w:tcW w:w="0" w:type="auto"/>
            <w:tcBorders>
              <w:bottom w:val="single" w:sz="4" w:space="0" w:color="auto"/>
            </w:tcBorders>
            <w:vAlign w:val="center"/>
          </w:tcPr>
          <w:p w:rsidR="0021205F" w:rsidRDefault="0021205F" w:rsidP="00384E88">
            <w:pPr>
              <w:pStyle w:val="Bntextrga"/>
              <w:spacing w:after="120"/>
              <w:jc w:val="center"/>
            </w:pPr>
            <w:r>
              <w:t>2 – 5</w:t>
            </w:r>
          </w:p>
        </w:tc>
      </w:tr>
    </w:tbl>
    <w:p w:rsidR="0021205F" w:rsidRPr="001860B1" w:rsidRDefault="0021205F" w:rsidP="0021205F">
      <w:pPr>
        <w:pStyle w:val="Bntextrga"/>
        <w:spacing w:after="120" w:line="240" w:lineRule="auto"/>
        <w:jc w:val="both"/>
        <w:rPr>
          <w:lang w:val="en-US"/>
        </w:rPr>
      </w:pPr>
      <w:r>
        <w:rPr>
          <w:vertAlign w:val="superscript"/>
        </w:rPr>
        <w:t>*</w:t>
      </w:r>
      <w:r w:rsidRPr="001860B1">
        <w:rPr>
          <w:sz w:val="20"/>
          <w:szCs w:val="20"/>
        </w:rPr>
        <w:t xml:space="preserve">Tabulkové hodnoty byly získány z </w:t>
      </w:r>
      <w:r w:rsidRPr="001860B1">
        <w:rPr>
          <w:sz w:val="20"/>
          <w:szCs w:val="20"/>
          <w:lang w:val="en-US"/>
        </w:rPr>
        <w:t>[</w:t>
      </w:r>
      <w:r>
        <w:rPr>
          <w:sz w:val="20"/>
          <w:szCs w:val="20"/>
          <w:lang w:val="en-US"/>
        </w:rPr>
        <w:t>63</w:t>
      </w:r>
      <w:r w:rsidRPr="001860B1">
        <w:rPr>
          <w:sz w:val="20"/>
          <w:szCs w:val="20"/>
          <w:lang w:val="en-US"/>
        </w:rPr>
        <w:t>] a [</w:t>
      </w:r>
      <w:r>
        <w:rPr>
          <w:sz w:val="20"/>
          <w:szCs w:val="20"/>
          <w:lang w:val="en-US"/>
        </w:rPr>
        <w:t>70</w:t>
      </w:r>
      <w:r w:rsidRPr="001860B1">
        <w:rPr>
          <w:sz w:val="20"/>
          <w:szCs w:val="20"/>
          <w:lang w:val="en-US"/>
        </w:rPr>
        <w:t>].</w:t>
      </w:r>
    </w:p>
    <w:p w:rsidR="0021205F" w:rsidRPr="00C830E9" w:rsidRDefault="000D1537" w:rsidP="0021205F">
      <w:pPr>
        <w:pStyle w:val="Bntextrga"/>
        <w:spacing w:line="360" w:lineRule="auto"/>
        <w:jc w:val="both"/>
        <w:rPr>
          <w:rFonts w:eastAsiaTheme="minorEastAsia"/>
          <w:szCs w:val="24"/>
        </w:rPr>
      </w:pPr>
      <w:r>
        <w:rPr>
          <w:rFonts w:eastAsiaTheme="minorEastAsia"/>
          <w:szCs w:val="24"/>
        </w:rPr>
        <w:br/>
      </w:r>
      <w:r w:rsidR="0021205F">
        <w:rPr>
          <w:rFonts w:eastAsiaTheme="minorEastAsia"/>
          <w:szCs w:val="24"/>
        </w:rPr>
        <w:t xml:space="preserve">Absolutní </w:t>
      </w:r>
      <w:r>
        <w:rPr>
          <w:rFonts w:eastAsiaTheme="minorEastAsia"/>
          <w:szCs w:val="24"/>
        </w:rPr>
        <w:t>nejistotu</w:t>
      </w:r>
      <w:r w:rsidR="0021205F">
        <w:rPr>
          <w:rFonts w:eastAsiaTheme="minorEastAsia"/>
          <w:szCs w:val="24"/>
        </w:rPr>
        <w:t xml:space="preserve"> v určení modulu pružnosti v ohybu </w:t>
      </w:r>
      <w:r w:rsidR="0021205F">
        <w:rPr>
          <w:rFonts w:eastAsiaTheme="minorEastAsia"/>
          <w:i/>
          <w:szCs w:val="24"/>
        </w:rPr>
        <w:t>E</w:t>
      </w:r>
      <w:r w:rsidR="0021205F" w:rsidRPr="00C830E9">
        <w:rPr>
          <w:rFonts w:eastAsiaTheme="minorEastAsia"/>
          <w:szCs w:val="24"/>
        </w:rPr>
        <w:t xml:space="preserve"> </w:t>
      </w:r>
      <w:r w:rsidR="0021205F">
        <w:rPr>
          <w:rFonts w:eastAsiaTheme="minorEastAsia"/>
          <w:szCs w:val="24"/>
        </w:rPr>
        <w:t>vypočítáme</w:t>
      </w:r>
      <w:r w:rsidR="0021205F" w:rsidRPr="00C830E9">
        <w:rPr>
          <w:rFonts w:eastAsiaTheme="minorEastAsia"/>
          <w:szCs w:val="24"/>
        </w:rPr>
        <w:t xml:space="preserve"> </w:t>
      </w:r>
      <w:r w:rsidR="0021205F">
        <w:rPr>
          <w:rFonts w:eastAsiaTheme="minorEastAsia"/>
          <w:szCs w:val="24"/>
        </w:rPr>
        <w:t>pomocí analytických nástrojů MS Excel z následujícího vztahu (2.1.2):</w:t>
      </w:r>
    </w:p>
    <w:p w:rsidR="0021205F" w:rsidRPr="00216921" w:rsidRDefault="0021205F" w:rsidP="0021205F">
      <w:pPr>
        <w:pStyle w:val="Bntextrga"/>
        <w:spacing w:line="360" w:lineRule="auto"/>
        <w:jc w:val="center"/>
        <w:rPr>
          <w:rFonts w:eastAsiaTheme="minorEastAsia"/>
          <w:szCs w:val="24"/>
        </w:rPr>
      </w:pPr>
      <m:oMathPara>
        <m:oMathParaPr>
          <m:jc m:val="right"/>
        </m:oMathParaPr>
        <m:oMath>
          <m:r>
            <w:rPr>
              <w:rFonts w:ascii="Cambria Math" w:eastAsiaTheme="minorEastAsia" w:hAnsi="Cambria Math"/>
              <w:szCs w:val="24"/>
            </w:rPr>
            <m:t>∆E=</m:t>
          </m:r>
          <m:acc>
            <m:accPr>
              <m:chr m:val="̅"/>
              <m:ctrlPr>
                <w:rPr>
                  <w:rFonts w:ascii="Cambria Math" w:eastAsiaTheme="minorEastAsia" w:hAnsi="Cambria Math"/>
                  <w:i/>
                  <w:szCs w:val="24"/>
                </w:rPr>
              </m:ctrlPr>
            </m:accPr>
            <m:e>
              <m:r>
                <w:rPr>
                  <w:rFonts w:ascii="Cambria Math" w:eastAsiaTheme="minorEastAsia" w:hAnsi="Cambria Math"/>
                  <w:szCs w:val="24"/>
                </w:rPr>
                <m:t>E</m:t>
              </m:r>
            </m:e>
          </m:acc>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∆ρ</m:t>
                  </m:r>
                </m:num>
                <m:den>
                  <m:acc>
                    <m:accPr>
                      <m:chr m:val="̅"/>
                      <m:ctrlPr>
                        <w:rPr>
                          <w:rFonts w:ascii="Cambria Math" w:eastAsiaTheme="minorEastAsia" w:hAnsi="Cambria Math"/>
                          <w:i/>
                          <w:szCs w:val="24"/>
                        </w:rPr>
                      </m:ctrlPr>
                    </m:accPr>
                    <m:e>
                      <m:r>
                        <w:rPr>
                          <w:rFonts w:ascii="Cambria Math" w:eastAsiaTheme="minorEastAsia" w:hAnsi="Cambria Math"/>
                          <w:szCs w:val="24"/>
                        </w:rPr>
                        <m:t>ρ</m:t>
                      </m:r>
                    </m:e>
                  </m:acc>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2∆l</m:t>
                  </m:r>
                </m:num>
                <m:den>
                  <m:acc>
                    <m:accPr>
                      <m:chr m:val="̅"/>
                      <m:ctrlPr>
                        <w:rPr>
                          <w:rFonts w:ascii="Cambria Math" w:eastAsiaTheme="minorEastAsia" w:hAnsi="Cambria Math"/>
                          <w:i/>
                          <w:szCs w:val="24"/>
                        </w:rPr>
                      </m:ctrlPr>
                    </m:accPr>
                    <m:e>
                      <m:r>
                        <w:rPr>
                          <w:rFonts w:ascii="Cambria Math" w:eastAsiaTheme="minorEastAsia" w:hAnsi="Cambria Math"/>
                          <w:szCs w:val="24"/>
                        </w:rPr>
                        <m:t>l</m:t>
                      </m:r>
                    </m:e>
                  </m:acc>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m:t>
                  </m:r>
                  <m:r>
                    <w:rPr>
                      <w:rFonts w:ascii="Cambria Math" w:eastAsiaTheme="minorEastAsia" w:hAnsi="Cambria Math"/>
                      <w:szCs w:val="24"/>
                    </w:rPr>
                    <m:t>h</m:t>
                  </m:r>
                </m:num>
                <m:den>
                  <m:acc>
                    <m:accPr>
                      <m:chr m:val="̅"/>
                      <m:ctrlPr>
                        <w:rPr>
                          <w:rFonts w:ascii="Cambria Math" w:eastAsiaTheme="minorEastAsia" w:hAnsi="Cambria Math"/>
                          <w:i/>
                          <w:szCs w:val="24"/>
                        </w:rPr>
                      </m:ctrlPr>
                    </m:accPr>
                    <m:e>
                      <m:r>
                        <w:rPr>
                          <w:rFonts w:ascii="Cambria Math" w:eastAsiaTheme="minorEastAsia" w:hAnsi="Cambria Math"/>
                          <w:szCs w:val="24"/>
                        </w:rPr>
                        <m:t>h</m:t>
                      </m:r>
                    </m:e>
                  </m:acc>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2∆f</m:t>
                  </m:r>
                </m:num>
                <m:den>
                  <m:acc>
                    <m:accPr>
                      <m:chr m:val="̅"/>
                      <m:ctrlPr>
                        <w:rPr>
                          <w:rFonts w:ascii="Cambria Math" w:eastAsiaTheme="minorEastAsia" w:hAnsi="Cambria Math"/>
                          <w:i/>
                          <w:szCs w:val="24"/>
                        </w:rPr>
                      </m:ctrlPr>
                    </m:accPr>
                    <m:e>
                      <m:r>
                        <w:rPr>
                          <w:rFonts w:ascii="Cambria Math" w:eastAsiaTheme="minorEastAsia" w:hAnsi="Cambria Math"/>
                          <w:szCs w:val="24"/>
                        </w:rPr>
                        <m:t>f</m:t>
                      </m:r>
                    </m:e>
                  </m:acc>
                </m:den>
              </m:f>
            </m:e>
          </m:d>
          <m:r>
            <w:rPr>
              <w:rFonts w:ascii="Cambria Math" w:eastAsiaTheme="minorEastAsia" w:hAnsi="Cambria Math"/>
              <w:szCs w:val="24"/>
            </w:rPr>
            <m:t>,                                        (2.1.2)</m:t>
          </m:r>
        </m:oMath>
      </m:oMathPara>
    </w:p>
    <w:p w:rsidR="0021205F" w:rsidRPr="00C830E9" w:rsidRDefault="0021205F" w:rsidP="0021205F">
      <w:pPr>
        <w:pStyle w:val="Bntextrga"/>
        <w:spacing w:line="360" w:lineRule="auto"/>
        <w:jc w:val="both"/>
        <w:rPr>
          <w:rFonts w:eastAsiaTheme="minorEastAsia"/>
          <w:szCs w:val="24"/>
        </w:rPr>
      </w:pPr>
      <w:r w:rsidRPr="00C830E9">
        <w:rPr>
          <w:rFonts w:eastAsiaTheme="minorEastAsia"/>
          <w:szCs w:val="24"/>
        </w:rPr>
        <w:t xml:space="preserve">který lze za </w:t>
      </w:r>
      <w:r>
        <w:rPr>
          <w:rFonts w:eastAsiaTheme="minorEastAsia"/>
          <w:szCs w:val="24"/>
        </w:rPr>
        <w:t>zjednodušujícího předpokladu přesného určení hustoty, délky a tloušťky</w:t>
      </w:r>
      <w:r w:rsidRPr="00C830E9">
        <w:rPr>
          <w:rFonts w:eastAsiaTheme="minorEastAsia"/>
          <w:szCs w:val="24"/>
        </w:rPr>
        <w:t xml:space="preserve"> zjednodušit na vz</w:t>
      </w:r>
      <w:r>
        <w:rPr>
          <w:rFonts w:eastAsiaTheme="minorEastAsia"/>
          <w:szCs w:val="24"/>
        </w:rPr>
        <w:t>tah (2.1.3</w:t>
      </w:r>
      <w:r w:rsidRPr="00C830E9">
        <w:rPr>
          <w:rFonts w:eastAsiaTheme="minorEastAsia"/>
          <w:szCs w:val="24"/>
        </w:rPr>
        <w:t>)</w:t>
      </w:r>
      <w:r>
        <w:rPr>
          <w:rFonts w:eastAsiaTheme="minorEastAsia"/>
          <w:szCs w:val="24"/>
        </w:rPr>
        <w:t>:</w:t>
      </w:r>
    </w:p>
    <w:p w:rsidR="0021205F" w:rsidRPr="00216921" w:rsidRDefault="0021205F" w:rsidP="0021205F">
      <w:pPr>
        <w:pStyle w:val="Bntextrga"/>
        <w:spacing w:line="360" w:lineRule="auto"/>
        <w:jc w:val="center"/>
        <w:rPr>
          <w:rFonts w:eastAsiaTheme="minorEastAsia"/>
          <w:szCs w:val="24"/>
        </w:rPr>
      </w:pPr>
      <m:oMathPara>
        <m:oMathParaPr>
          <m:jc m:val="right"/>
        </m:oMathParaPr>
        <m:oMath>
          <m:r>
            <w:rPr>
              <w:rFonts w:ascii="Cambria Math" w:eastAsiaTheme="minorEastAsia" w:hAnsi="Cambria Math"/>
              <w:szCs w:val="24"/>
            </w:rPr>
            <m:t>∆E=</m:t>
          </m:r>
          <m:acc>
            <m:accPr>
              <m:chr m:val="̅"/>
              <m:ctrlPr>
                <w:rPr>
                  <w:rFonts w:ascii="Cambria Math" w:eastAsiaTheme="minorEastAsia" w:hAnsi="Cambria Math"/>
                  <w:i/>
                  <w:szCs w:val="24"/>
                </w:rPr>
              </m:ctrlPr>
            </m:accPr>
            <m:e>
              <m:r>
                <w:rPr>
                  <w:rFonts w:ascii="Cambria Math" w:eastAsiaTheme="minorEastAsia" w:hAnsi="Cambria Math"/>
                  <w:szCs w:val="24"/>
                </w:rPr>
                <m:t>E</m:t>
              </m:r>
            </m:e>
          </m:acc>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2∆f</m:t>
                  </m:r>
                </m:num>
                <m:den>
                  <m:acc>
                    <m:accPr>
                      <m:chr m:val="̅"/>
                      <m:ctrlPr>
                        <w:rPr>
                          <w:rFonts w:ascii="Cambria Math" w:eastAsiaTheme="minorEastAsia" w:hAnsi="Cambria Math"/>
                          <w:i/>
                          <w:szCs w:val="24"/>
                        </w:rPr>
                      </m:ctrlPr>
                    </m:accPr>
                    <m:e>
                      <m:r>
                        <w:rPr>
                          <w:rFonts w:ascii="Cambria Math" w:eastAsiaTheme="minorEastAsia" w:hAnsi="Cambria Math"/>
                          <w:szCs w:val="24"/>
                        </w:rPr>
                        <m:t>f</m:t>
                      </m:r>
                    </m:e>
                  </m:acc>
                </m:den>
              </m:f>
            </m:e>
          </m:d>
          <m:r>
            <w:rPr>
              <w:rFonts w:ascii="Cambria Math" w:eastAsiaTheme="minorEastAsia" w:hAnsi="Cambria Math"/>
              <w:szCs w:val="24"/>
            </w:rPr>
            <m:t xml:space="preserve">                                                         (2.1.3)</m:t>
          </m:r>
        </m:oMath>
      </m:oMathPara>
    </w:p>
    <w:p w:rsidR="0021205F" w:rsidRDefault="0021205F" w:rsidP="0021205F">
      <w:pPr>
        <w:pStyle w:val="Bntextrga"/>
        <w:tabs>
          <w:tab w:val="left" w:pos="709"/>
        </w:tabs>
        <w:spacing w:line="360" w:lineRule="auto"/>
        <w:jc w:val="both"/>
        <w:rPr>
          <w:rFonts w:eastAsiaTheme="minorEastAsia"/>
          <w:szCs w:val="24"/>
        </w:rPr>
      </w:pPr>
      <w:r>
        <w:rPr>
          <w:rFonts w:eastAsiaTheme="minorEastAsia"/>
          <w:szCs w:val="24"/>
        </w:rPr>
        <w:br/>
        <w:t xml:space="preserve">Na závěr </w:t>
      </w:r>
      <w:r w:rsidRPr="00E377E6">
        <w:rPr>
          <w:rFonts w:eastAsiaTheme="minorEastAsia"/>
          <w:szCs w:val="24"/>
        </w:rPr>
        <w:t xml:space="preserve">vytvoříme graf závislosti </w:t>
      </w:r>
      <w:r>
        <w:rPr>
          <w:rFonts w:eastAsiaTheme="minorEastAsia"/>
          <w:szCs w:val="24"/>
        </w:rPr>
        <w:t>modulu pružnosti v ohybu na periodě kmitů destičky</w:t>
      </w:r>
      <w:r w:rsidRPr="00E377E6">
        <w:rPr>
          <w:rFonts w:eastAsiaTheme="minorEastAsia"/>
          <w:szCs w:val="24"/>
        </w:rPr>
        <w:t xml:space="preserve">, který doplníme o regresní analýzu (Přidat spojnici trendu). </w:t>
      </w:r>
      <w:r>
        <w:rPr>
          <w:rFonts w:eastAsiaTheme="minorEastAsia"/>
          <w:szCs w:val="24"/>
        </w:rPr>
        <w:t>Ilustrativní g</w:t>
      </w:r>
      <w:r w:rsidRPr="00E377E6">
        <w:rPr>
          <w:rFonts w:eastAsiaTheme="minorEastAsia"/>
          <w:szCs w:val="24"/>
        </w:rPr>
        <w:t>raf vy</w:t>
      </w:r>
      <w:r>
        <w:rPr>
          <w:rFonts w:eastAsiaTheme="minorEastAsia"/>
          <w:szCs w:val="24"/>
        </w:rPr>
        <w:t>tvořený na základě prvních čtyř řádků tabulky 2.1, které představují stejný materiál, ale různé hodnoty délky i tloušťky, je na obrázku 2.1.3</w:t>
      </w:r>
      <w:r w:rsidRPr="00E377E6">
        <w:rPr>
          <w:rFonts w:eastAsiaTheme="minorEastAsia"/>
          <w:szCs w:val="24"/>
        </w:rPr>
        <w:t>.</w:t>
      </w:r>
    </w:p>
    <w:p w:rsidR="0021205F" w:rsidRDefault="0021205F" w:rsidP="0021205F">
      <w:pPr>
        <w:pStyle w:val="Bntextrga"/>
        <w:tabs>
          <w:tab w:val="left" w:pos="709"/>
        </w:tabs>
        <w:spacing w:line="360" w:lineRule="auto"/>
        <w:jc w:val="both"/>
      </w:pPr>
      <w:r>
        <w:rPr>
          <w:noProof/>
          <w:lang w:eastAsia="cs-CZ"/>
        </w:rPr>
        <w:lastRenderedPageBreak/>
        <w:drawing>
          <wp:inline distT="0" distB="0" distL="0" distR="0" wp14:anchorId="3C1FBF09" wp14:editId="28F08ED8">
            <wp:extent cx="5760000" cy="3240000"/>
            <wp:effectExtent l="0" t="0" r="12700" b="17780"/>
            <wp:docPr id="44" name="Graf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 w:name="_GoBack"/>
      <w:bookmarkEnd w:id="1"/>
    </w:p>
    <w:p w:rsidR="0021205F" w:rsidRDefault="0021205F" w:rsidP="0021205F">
      <w:pPr>
        <w:pStyle w:val="Bntextrga"/>
        <w:tabs>
          <w:tab w:val="left" w:pos="709"/>
        </w:tabs>
        <w:spacing w:line="360" w:lineRule="auto"/>
        <w:jc w:val="center"/>
      </w:pPr>
      <w:r>
        <w:rPr>
          <w:rFonts w:eastAsiaTheme="minorEastAsia"/>
          <w:sz w:val="20"/>
          <w:szCs w:val="20"/>
        </w:rPr>
        <w:t>Obr. 2.1</w:t>
      </w:r>
      <w:r w:rsidRPr="007A2BCA">
        <w:rPr>
          <w:rFonts w:eastAsiaTheme="minorEastAsia"/>
          <w:sz w:val="20"/>
          <w:szCs w:val="20"/>
        </w:rPr>
        <w:t>.</w:t>
      </w:r>
      <w:r>
        <w:rPr>
          <w:rFonts w:eastAsiaTheme="minorEastAsia"/>
          <w:sz w:val="20"/>
          <w:szCs w:val="20"/>
        </w:rPr>
        <w:t>3</w:t>
      </w:r>
      <w:r w:rsidRPr="007A2BCA">
        <w:rPr>
          <w:rFonts w:eastAsiaTheme="minorEastAsia"/>
          <w:sz w:val="20"/>
          <w:szCs w:val="20"/>
        </w:rPr>
        <w:t xml:space="preserve"> </w:t>
      </w:r>
      <w:r>
        <w:rPr>
          <w:rFonts w:eastAsiaTheme="minorEastAsia"/>
          <w:sz w:val="20"/>
          <w:szCs w:val="20"/>
        </w:rPr>
        <w:t>Graf závislosti modulu pružnosti v ohybu na frekvenci kmitů nerezové destičky</w:t>
      </w:r>
      <w:r w:rsidRPr="007A2BCA">
        <w:rPr>
          <w:rFonts w:eastAsiaTheme="minorEastAsia"/>
          <w:sz w:val="20"/>
          <w:szCs w:val="20"/>
        </w:rPr>
        <w:t xml:space="preserve"> – Měření </w:t>
      </w:r>
      <w:r>
        <w:rPr>
          <w:rFonts w:eastAsiaTheme="minorEastAsia"/>
          <w:sz w:val="20"/>
          <w:szCs w:val="20"/>
        </w:rPr>
        <w:t>modulu pružnosti ohybu destičky – různé délky a tloušťky destičky</w:t>
      </w:r>
    </w:p>
    <w:p w:rsidR="0021205F" w:rsidRDefault="0021205F" w:rsidP="0021205F">
      <w:pPr>
        <w:pStyle w:val="Bntextrga"/>
        <w:tabs>
          <w:tab w:val="left" w:pos="709"/>
        </w:tabs>
        <w:spacing w:line="360" w:lineRule="auto"/>
        <w:jc w:val="both"/>
      </w:pPr>
      <w:r>
        <w:tab/>
        <w:t xml:space="preserve">Z předpisu nalezené lineární regresní funkce určíme hodnotu modulu pružnosti v ohybu </w:t>
      </w:r>
      <w:r>
        <w:rPr>
          <w:i/>
        </w:rPr>
        <w:t>E</w:t>
      </w:r>
      <w:r>
        <w:t xml:space="preserve"> grafickou metodou a tuto hodnotu porovnáme s průměrnou hodnotou nalezenou analytickými nástroji programu MS Excel a s tabulkovou hodnotou daného materiálu.</w:t>
      </w:r>
    </w:p>
    <w:p w:rsidR="0021205F" w:rsidRPr="00B34DD5" w:rsidRDefault="0021205F" w:rsidP="0021205F">
      <w:pPr>
        <w:pStyle w:val="Bntextrga"/>
        <w:tabs>
          <w:tab w:val="left" w:pos="709"/>
        </w:tabs>
        <w:spacing w:line="360" w:lineRule="auto"/>
        <w:jc w:val="both"/>
        <w:rPr>
          <w:b/>
        </w:rPr>
      </w:pPr>
      <w:r w:rsidRPr="00B34DD5">
        <w:rPr>
          <w:b/>
        </w:rPr>
        <w:t>Závěr</w:t>
      </w:r>
    </w:p>
    <w:p w:rsidR="0021205F" w:rsidRDefault="0021205F" w:rsidP="0021205F">
      <w:pPr>
        <w:pStyle w:val="Bntextrga"/>
        <w:tabs>
          <w:tab w:val="left" w:pos="709"/>
        </w:tabs>
        <w:spacing w:line="360" w:lineRule="auto"/>
        <w:jc w:val="both"/>
      </w:pPr>
      <w:r w:rsidRPr="00916230">
        <w:t xml:space="preserve">Naměřené hodnoty </w:t>
      </w:r>
      <w:r>
        <w:t xml:space="preserve">uvedené v tabulce 2.1 </w:t>
      </w:r>
      <w:r w:rsidRPr="00916230">
        <w:t>se celkem</w:t>
      </w:r>
      <w:r>
        <w:t xml:space="preserve"> dobře shodují s tabulkovými. U </w:t>
      </w:r>
      <w:r w:rsidRPr="00916230">
        <w:t>dřeva pak záleží nejen na jeho druhu (smrk, modřín, apod.), ale také</w:t>
      </w:r>
      <w:r>
        <w:t xml:space="preserve"> na typu deformace a dokonce i </w:t>
      </w:r>
      <w:r w:rsidRPr="00916230">
        <w:t>při daném typu deformace je výsledek ještě závislý na t</w:t>
      </w:r>
      <w:r>
        <w:t>om, zda je destička namáhána ve </w:t>
      </w:r>
      <w:r w:rsidRPr="00916230">
        <w:t>směru vlákna nebo kolmo na vlákno. Jiné vlastnosti má také dřevo přírodní nebo lepené, vysušené nebo čerstvé </w:t>
      </w:r>
      <w:r w:rsidRPr="0021205F">
        <w:t>[63].</w:t>
      </w:r>
      <w:r w:rsidRPr="00916230">
        <w:t xml:space="preserve"> V</w:t>
      </w:r>
      <w:r>
        <w:t> t</w:t>
      </w:r>
      <w:r w:rsidRPr="00916230">
        <w:t>abulce</w:t>
      </w:r>
      <w:r>
        <w:t xml:space="preserve"> 2.1</w:t>
      </w:r>
      <w:r w:rsidRPr="00916230">
        <w:t xml:space="preserve"> jsou použity hodnoty pro namáhání dřeva ohybem. Protože většinou neznáme druh dřeva nebo složení plastu, může se v tomto případě jednat pouze o orientační měření v rámci nějakého intervalu hodnot.</w:t>
      </w:r>
    </w:p>
    <w:p w:rsidR="0021205F" w:rsidRDefault="0021205F" w:rsidP="0021205F">
      <w:pPr>
        <w:pStyle w:val="Bntextrga"/>
        <w:tabs>
          <w:tab w:val="left" w:pos="709"/>
        </w:tabs>
        <w:spacing w:line="360" w:lineRule="auto"/>
        <w:jc w:val="both"/>
        <w:rPr>
          <w:rFonts w:eastAsiaTheme="minorEastAsia"/>
          <w:szCs w:val="24"/>
        </w:rPr>
      </w:pPr>
      <w:r>
        <w:rPr>
          <w:rFonts w:eastAsiaTheme="minorEastAsia"/>
          <w:szCs w:val="24"/>
        </w:rPr>
        <w:tab/>
      </w:r>
      <w:r w:rsidRPr="00A4357F">
        <w:rPr>
          <w:rFonts w:eastAsiaTheme="minorEastAsia"/>
          <w:szCs w:val="24"/>
        </w:rPr>
        <w:t xml:space="preserve">Průměrná hodnota </w:t>
      </w:r>
      <w:r>
        <w:rPr>
          <w:rFonts w:eastAsiaTheme="minorEastAsia"/>
          <w:szCs w:val="24"/>
        </w:rPr>
        <w:t>modulu pružnosti nerezu určená z hodnot v tabulce 2.1</w:t>
      </w:r>
      <w:r w:rsidRPr="00A4357F">
        <w:rPr>
          <w:rFonts w:eastAsiaTheme="minorEastAsia"/>
          <w:szCs w:val="24"/>
        </w:rPr>
        <w:t xml:space="preserve"> má velikost </w:t>
      </w:r>
      <w:r w:rsidRPr="00A4357F">
        <w:rPr>
          <w:rFonts w:eastAsiaTheme="minorEastAsia"/>
          <w:szCs w:val="24"/>
        </w:rPr>
        <w:br/>
      </w:r>
      <m:oMath>
        <m:r>
          <w:rPr>
            <w:rFonts w:ascii="Cambria Math" w:eastAsiaTheme="minorEastAsia" w:hAnsi="Cambria Math"/>
            <w:szCs w:val="24"/>
          </w:rPr>
          <m:t>E=</m:t>
        </m:r>
        <m:d>
          <m:dPr>
            <m:ctrlPr>
              <w:rPr>
                <w:rFonts w:ascii="Cambria Math" w:eastAsiaTheme="minorEastAsia" w:hAnsi="Cambria Math"/>
                <w:i/>
                <w:szCs w:val="24"/>
              </w:rPr>
            </m:ctrlPr>
          </m:dPr>
          <m:e>
            <m:r>
              <w:rPr>
                <w:rFonts w:ascii="Cambria Math" w:eastAsiaTheme="minorEastAsia" w:hAnsi="Cambria Math"/>
                <w:szCs w:val="24"/>
              </w:rPr>
              <m:t>194±10</m:t>
            </m:r>
          </m:e>
        </m:d>
      </m:oMath>
      <w:r w:rsidRPr="00A4357F">
        <w:rPr>
          <w:rFonts w:eastAsiaTheme="minorEastAsia"/>
          <w:szCs w:val="24"/>
        </w:rPr>
        <w:t xml:space="preserve"> </w:t>
      </w:r>
      <w:proofErr w:type="spellStart"/>
      <w:r>
        <w:rPr>
          <w:rFonts w:eastAsiaTheme="minorEastAsia"/>
          <w:szCs w:val="24"/>
        </w:rPr>
        <w:t>GPa</w:t>
      </w:r>
      <w:proofErr w:type="spellEnd"/>
      <w:r w:rsidRPr="00A4357F">
        <w:rPr>
          <w:rFonts w:eastAsiaTheme="minorEastAsia"/>
          <w:szCs w:val="24"/>
        </w:rPr>
        <w:t xml:space="preserve">. Relativní </w:t>
      </w:r>
      <w:r w:rsidR="000D1537">
        <w:rPr>
          <w:rFonts w:eastAsiaTheme="minorEastAsia"/>
          <w:szCs w:val="24"/>
        </w:rPr>
        <w:t>nejistota</w:t>
      </w:r>
      <w:r w:rsidRPr="00A4357F">
        <w:rPr>
          <w:rFonts w:eastAsiaTheme="minorEastAsia"/>
          <w:szCs w:val="24"/>
        </w:rPr>
        <w:t xml:space="preserve"> měření je </w:t>
      </w:r>
      <m:oMath>
        <m:r>
          <w:rPr>
            <w:rFonts w:ascii="Cambria Math" w:eastAsiaTheme="minorEastAsia" w:hAnsi="Cambria Math"/>
            <w:szCs w:val="24"/>
          </w:rPr>
          <m:t>δE=0,05155≐5</m:t>
        </m:r>
      </m:oMath>
      <w:r w:rsidRPr="00A4357F">
        <w:rPr>
          <w:rFonts w:eastAsiaTheme="minorEastAsia"/>
          <w:szCs w:val="24"/>
        </w:rPr>
        <w:t xml:space="preserve"> %, což je </w:t>
      </w:r>
      <w:r>
        <w:rPr>
          <w:rFonts w:eastAsiaTheme="minorEastAsia"/>
          <w:szCs w:val="24"/>
        </w:rPr>
        <w:t>na horní hranici uspokojivého měření realizovaného</w:t>
      </w:r>
      <w:r w:rsidRPr="00A4357F">
        <w:rPr>
          <w:rFonts w:eastAsiaTheme="minorEastAsia"/>
          <w:szCs w:val="24"/>
        </w:rPr>
        <w:t xml:space="preserve"> ve školní laboratoři.</w:t>
      </w:r>
      <w:r>
        <w:rPr>
          <w:rFonts w:eastAsiaTheme="minorEastAsia"/>
          <w:szCs w:val="24"/>
        </w:rPr>
        <w:t xml:space="preserve"> Hodnota je ale v poměrně dobrém souladu s tabulkovou hodnotou 210 </w:t>
      </w:r>
      <w:proofErr w:type="spellStart"/>
      <w:r>
        <w:rPr>
          <w:rFonts w:eastAsiaTheme="minorEastAsia"/>
          <w:szCs w:val="24"/>
        </w:rPr>
        <w:t>GPa</w:t>
      </w:r>
      <w:proofErr w:type="spellEnd"/>
      <w:r>
        <w:rPr>
          <w:rFonts w:eastAsiaTheme="minorEastAsia"/>
          <w:szCs w:val="24"/>
        </w:rPr>
        <w:t xml:space="preserve">. Hodnota zjištěná z konstantní části lineární regresní funkce v grafu na obrázku 2.1.3 má velikost 203 </w:t>
      </w:r>
      <w:proofErr w:type="spellStart"/>
      <w:r>
        <w:rPr>
          <w:rFonts w:eastAsiaTheme="minorEastAsia"/>
          <w:szCs w:val="24"/>
        </w:rPr>
        <w:t>GPa</w:t>
      </w:r>
      <w:proofErr w:type="spellEnd"/>
      <w:r>
        <w:rPr>
          <w:rFonts w:eastAsiaTheme="minorEastAsia"/>
          <w:szCs w:val="24"/>
        </w:rPr>
        <w:t xml:space="preserve"> a tabulkové hodnotě odpovídá ještě lépe než vypočítaný průměr.</w:t>
      </w:r>
    </w:p>
    <w:p w:rsidR="0021205F" w:rsidRDefault="0021205F" w:rsidP="0021205F">
      <w:pPr>
        <w:pStyle w:val="Bntextrga"/>
        <w:spacing w:line="360" w:lineRule="auto"/>
        <w:rPr>
          <w:rFonts w:eastAsiaTheme="minorEastAsia"/>
          <w:szCs w:val="24"/>
        </w:rPr>
      </w:pPr>
      <w:r w:rsidRPr="0055352D">
        <w:rPr>
          <w:rFonts w:eastAsiaTheme="minorEastAsia"/>
          <w:b/>
          <w:szCs w:val="24"/>
        </w:rPr>
        <w:lastRenderedPageBreak/>
        <w:t>Otázky na závěr</w:t>
      </w:r>
    </w:p>
    <w:p w:rsidR="0021205F" w:rsidRDefault="0021205F" w:rsidP="0021205F">
      <w:pPr>
        <w:pStyle w:val="Bntextrga"/>
        <w:spacing w:line="360" w:lineRule="auto"/>
        <w:jc w:val="both"/>
        <w:rPr>
          <w:rFonts w:eastAsiaTheme="minorEastAsia"/>
          <w:szCs w:val="24"/>
        </w:rPr>
      </w:pPr>
      <w:r>
        <w:rPr>
          <w:rFonts w:eastAsiaTheme="minorEastAsia"/>
          <w:szCs w:val="24"/>
        </w:rPr>
        <w:t xml:space="preserve">1. Jaká bude grafická závislost modulu pružnosti </w:t>
      </w:r>
      <w:r>
        <w:rPr>
          <w:rFonts w:eastAsiaTheme="minorEastAsia"/>
          <w:i/>
          <w:szCs w:val="24"/>
        </w:rPr>
        <w:t>E</w:t>
      </w:r>
      <w:r>
        <w:rPr>
          <w:rFonts w:eastAsiaTheme="minorEastAsia"/>
          <w:szCs w:val="24"/>
        </w:rPr>
        <w:t xml:space="preserve"> na frekvenci, pokud bychom graf konstruovali z hodnot získaných opakovaným měřením frekvence pro tutéž destičku?  </w:t>
      </w:r>
    </w:p>
    <w:p w:rsidR="0021205F" w:rsidRDefault="0021205F" w:rsidP="0021205F">
      <w:pPr>
        <w:pStyle w:val="Bntextrga"/>
        <w:spacing w:line="360" w:lineRule="auto"/>
        <w:jc w:val="both"/>
        <w:rPr>
          <w:rFonts w:eastAsiaTheme="minorEastAsia"/>
          <w:szCs w:val="24"/>
        </w:rPr>
      </w:pPr>
      <w:r>
        <w:rPr>
          <w:rFonts w:eastAsiaTheme="minorEastAsia"/>
          <w:szCs w:val="24"/>
        </w:rPr>
        <w:t>2. Jakou jinou veličinu bychom ještě mohli tímto experimentem určit? Zkuste navrhnout postup práce takového experimentu.</w:t>
      </w:r>
    </w:p>
    <w:p w:rsidR="0021205F" w:rsidRDefault="0021205F" w:rsidP="0021205F">
      <w:pPr>
        <w:pStyle w:val="Bntextrga"/>
        <w:spacing w:line="360" w:lineRule="auto"/>
        <w:jc w:val="both"/>
        <w:rPr>
          <w:rFonts w:eastAsiaTheme="minorEastAsia"/>
          <w:szCs w:val="24"/>
        </w:rPr>
      </w:pPr>
    </w:p>
    <w:p w:rsidR="0021205F" w:rsidRDefault="0021205F" w:rsidP="0021205F">
      <w:pPr>
        <w:pStyle w:val="Bntextrga"/>
        <w:spacing w:line="360" w:lineRule="auto"/>
        <w:rPr>
          <w:rFonts w:eastAsiaTheme="minorEastAsia"/>
          <w:szCs w:val="24"/>
        </w:rPr>
      </w:pPr>
      <w:r>
        <w:rPr>
          <w:rFonts w:eastAsiaTheme="minorEastAsia"/>
          <w:b/>
          <w:szCs w:val="24"/>
        </w:rPr>
        <w:t>Technické poznámky</w:t>
      </w:r>
    </w:p>
    <w:p w:rsidR="0021205F" w:rsidRPr="008F135D" w:rsidRDefault="0021205F" w:rsidP="0021205F">
      <w:pPr>
        <w:pStyle w:val="Bntextrga"/>
        <w:tabs>
          <w:tab w:val="left" w:pos="709"/>
        </w:tabs>
        <w:spacing w:line="360" w:lineRule="auto"/>
        <w:jc w:val="both"/>
      </w:pPr>
      <w:r w:rsidRPr="008F135D">
        <w:t xml:space="preserve">Jako nejdůležitější část měření se nakonec ukázalo být přesné změření tloušťky destičky. Při použití pouhého posuvného měřidla jsme neustále získávali velmi nepřesné výsledky. Teprve po přesném určení tloušťky destičky za použití mikrometru se </w:t>
      </w:r>
      <w:r>
        <w:t xml:space="preserve">vypočítané </w:t>
      </w:r>
      <w:r w:rsidRPr="008F135D">
        <w:t>hodnoty modulu pružnosti zpřesnily natolik, že se přiblížily tabulkovým hodnotám.</w:t>
      </w:r>
    </w:p>
    <w:p w:rsidR="0021205F" w:rsidRDefault="0021205F" w:rsidP="0021205F">
      <w:pPr>
        <w:pStyle w:val="Bntextrga"/>
        <w:tabs>
          <w:tab w:val="left" w:pos="709"/>
        </w:tabs>
        <w:spacing w:line="360" w:lineRule="auto"/>
        <w:jc w:val="both"/>
      </w:pPr>
      <w:r>
        <w:tab/>
      </w:r>
      <w:r w:rsidRPr="008F135D">
        <w:t>Při měření frekvence kmitů ve FAE je také nutné provádět odečet periody mezi prvním a třetím píkem hned na samém začátku průběhu signálu, ještě dříve než dojde k exponenciálnímu poklesu amplitudy. Při velkém tlumení již destička nekmitá mimo laserový paprsek a signál je značně zkreslený.</w:t>
      </w:r>
    </w:p>
    <w:p w:rsidR="0021205F" w:rsidRDefault="0021205F" w:rsidP="0021205F">
      <w:pPr>
        <w:pStyle w:val="Bntextrga"/>
        <w:tabs>
          <w:tab w:val="left" w:pos="709"/>
        </w:tabs>
        <w:spacing w:line="360" w:lineRule="auto"/>
        <w:jc w:val="both"/>
      </w:pPr>
      <w:r>
        <w:tab/>
      </w:r>
      <w:r w:rsidRPr="00766BDC">
        <w:t>V případě kovových destiček je lépe volit větší délku destičky, protože výchylka kmitů déle přerušuje laserový paprsek, aniž by samotná destička kmitala uvnitř paprsku. Důležitá je i vhodná tloušťka destičky, která by se měla p</w:t>
      </w:r>
      <w:r>
        <w:t>ohybovat od 0,5 mm do 2 mm. Při </w:t>
      </w:r>
      <w:r w:rsidRPr="00766BDC">
        <w:t>větší tloušťce je tuhost destičky tak velká, že téměř nelze dosáhnout výchylky destičky mimo oblast laserového paprsku a kmity se utlumí během několika sekund. Je-li naopak tloušťka destičky příliš malá, může dojít při velkém vychýlení destičky k nepružné deformaci.</w:t>
      </w:r>
    </w:p>
    <w:p w:rsidR="0021205F" w:rsidRDefault="0021205F" w:rsidP="0021205F">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Kromě různých kovů jsme vyzkoušeli i dřevo a plast. Naměřené hodnoty pro různé materiály jsou uvedeny v tabulce 2.1. Nejvíce se osvědčily nerezové a ocelové destičky o větší délce cca v rozmezí 30 cm – 50 cm. Měděné pásky, mají-li tloušťku menší než 0,5 mm, jsou příliš měkké a při větší výchylce dochází k trvalé deformaci. Lze také použít dřevěné latě o délce přesahující 80 cm nebo plastové destičky, u kterých postačí délka kolem 16 cm.</w:t>
      </w:r>
    </w:p>
    <w:p w:rsidR="00262990" w:rsidRDefault="00262990"/>
    <w:sectPr w:rsidR="00262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5F"/>
    <w:rsid w:val="000D1537"/>
    <w:rsid w:val="0021205F"/>
    <w:rsid w:val="00262990"/>
    <w:rsid w:val="005C3066"/>
    <w:rsid w:val="00CA081A"/>
    <w:rsid w:val="00F82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0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0D1537"/>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21205F"/>
    <w:rPr>
      <w:rFonts w:ascii="Times New Roman" w:hAnsi="Times New Roman"/>
      <w:sz w:val="24"/>
    </w:rPr>
  </w:style>
  <w:style w:type="character" w:customStyle="1" w:styleId="PodkapitolaChar">
    <w:name w:val="Podkapitola Char"/>
    <w:basedOn w:val="Standardnpsmoodstavce"/>
    <w:link w:val="Podkapitola"/>
    <w:rsid w:val="000D1537"/>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21205F"/>
    <w:rPr>
      <w:rFonts w:ascii="Times New Roman" w:hAnsi="Times New Roman"/>
      <w:sz w:val="24"/>
    </w:rPr>
  </w:style>
  <w:style w:type="character" w:styleId="Hypertextovodkaz">
    <w:name w:val="Hyperlink"/>
    <w:basedOn w:val="Standardnpsmoodstavce"/>
    <w:uiPriority w:val="99"/>
    <w:unhideWhenUsed/>
    <w:rsid w:val="0021205F"/>
    <w:rPr>
      <w:color w:val="0000FF" w:themeColor="hyperlink"/>
      <w:u w:val="single"/>
    </w:rPr>
  </w:style>
  <w:style w:type="paragraph" w:styleId="Textbubliny">
    <w:name w:val="Balloon Text"/>
    <w:basedOn w:val="Normln"/>
    <w:link w:val="TextbublinyChar"/>
    <w:uiPriority w:val="99"/>
    <w:semiHidden/>
    <w:unhideWhenUsed/>
    <w:rsid w:val="002120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20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0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0D1537"/>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21205F"/>
    <w:rPr>
      <w:rFonts w:ascii="Times New Roman" w:hAnsi="Times New Roman"/>
      <w:sz w:val="24"/>
    </w:rPr>
  </w:style>
  <w:style w:type="character" w:customStyle="1" w:styleId="PodkapitolaChar">
    <w:name w:val="Podkapitola Char"/>
    <w:basedOn w:val="Standardnpsmoodstavce"/>
    <w:link w:val="Podkapitola"/>
    <w:rsid w:val="000D1537"/>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21205F"/>
    <w:rPr>
      <w:rFonts w:ascii="Times New Roman" w:hAnsi="Times New Roman"/>
      <w:sz w:val="24"/>
    </w:rPr>
  </w:style>
  <w:style w:type="character" w:styleId="Hypertextovodkaz">
    <w:name w:val="Hyperlink"/>
    <w:basedOn w:val="Standardnpsmoodstavce"/>
    <w:uiPriority w:val="99"/>
    <w:unhideWhenUsed/>
    <w:rsid w:val="0021205F"/>
    <w:rPr>
      <w:color w:val="0000FF" w:themeColor="hyperlink"/>
      <w:u w:val="single"/>
    </w:rPr>
  </w:style>
  <w:style w:type="paragraph" w:styleId="Textbubliny">
    <w:name w:val="Balloon Text"/>
    <w:basedOn w:val="Normln"/>
    <w:link w:val="TextbublinyChar"/>
    <w:uiPriority w:val="99"/>
    <w:semiHidden/>
    <w:unhideWhenUsed/>
    <w:rsid w:val="0021205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2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clpx.eu/lab2R.php?exp=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2_1_mereni_modulu_pruznosti_ohybu_destick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4411924924476"/>
          <c:y val="0.16462373288382939"/>
          <c:w val="0.6450431337592234"/>
          <c:h val="0.64827302745514581"/>
        </c:manualLayout>
      </c:layout>
      <c:scatterChart>
        <c:scatterStyle val="lineMarker"/>
        <c:varyColors val="0"/>
        <c:ser>
          <c:idx val="0"/>
          <c:order val="0"/>
          <c:spPr>
            <a:ln w="28575">
              <a:noFill/>
            </a:ln>
          </c:spPr>
          <c:trendline>
            <c:spPr>
              <a:ln>
                <a:solidFill>
                  <a:srgbClr val="FF0000"/>
                </a:solidFill>
              </a:ln>
            </c:spPr>
            <c:trendlineType val="linear"/>
            <c:dispRSqr val="0"/>
            <c:dispEq val="1"/>
            <c:trendlineLbl>
              <c:layout>
                <c:manualLayout>
                  <c:x val="0.25221250000000001"/>
                  <c:y val="-0.25549537037037034"/>
                </c:manualLayout>
              </c:layout>
              <c:numFmt formatCode="General" sourceLinked="0"/>
              <c:txPr>
                <a:bodyPr/>
                <a:lstStyle/>
                <a:p>
                  <a:pPr>
                    <a:defRPr sz="1200">
                      <a:solidFill>
                        <a:srgbClr val="FF0000"/>
                      </a:solidFill>
                    </a:defRPr>
                  </a:pPr>
                  <a:endParaRPr lang="cs-CZ"/>
                </a:p>
              </c:txPr>
            </c:trendlineLbl>
          </c:trendline>
          <c:xVal>
            <c:numRef>
              <c:f>List1!$A$2:$A$5</c:f>
              <c:numCache>
                <c:formatCode>General</c:formatCode>
                <c:ptCount val="4"/>
                <c:pt idx="0">
                  <c:v>2.2469999999999999</c:v>
                </c:pt>
                <c:pt idx="1">
                  <c:v>5.2080000000000002</c:v>
                </c:pt>
                <c:pt idx="2">
                  <c:v>12.821</c:v>
                </c:pt>
                <c:pt idx="3">
                  <c:v>1.661</c:v>
                </c:pt>
              </c:numCache>
            </c:numRef>
          </c:xVal>
          <c:yVal>
            <c:numRef>
              <c:f>List1!$B$2:$B$5</c:f>
              <c:numCache>
                <c:formatCode>General</c:formatCode>
                <c:ptCount val="4"/>
                <c:pt idx="0">
                  <c:v>212</c:v>
                </c:pt>
                <c:pt idx="1">
                  <c:v>209</c:v>
                </c:pt>
                <c:pt idx="2">
                  <c:v>177</c:v>
                </c:pt>
                <c:pt idx="3">
                  <c:v>178</c:v>
                </c:pt>
              </c:numCache>
            </c:numRef>
          </c:yVal>
          <c:smooth val="0"/>
        </c:ser>
        <c:dLbls>
          <c:showLegendKey val="0"/>
          <c:showVal val="0"/>
          <c:showCatName val="0"/>
          <c:showSerName val="0"/>
          <c:showPercent val="0"/>
          <c:showBubbleSize val="0"/>
        </c:dLbls>
        <c:axId val="233225600"/>
        <c:axId val="233235968"/>
      </c:scatterChart>
      <c:valAx>
        <c:axId val="233225600"/>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f</a:t>
                </a:r>
                <a:r>
                  <a:rPr lang="cs-CZ" sz="1200" b="0">
                    <a:latin typeface="Times New Roman" panose="02020603050405020304" pitchFamily="18" charset="0"/>
                    <a:cs typeface="Times New Roman" panose="02020603050405020304" pitchFamily="18" charset="0"/>
                  </a:rPr>
                  <a:t> (Hz)</a:t>
                </a:r>
              </a:p>
            </c:rich>
          </c:tx>
          <c:layout>
            <c:manualLayout>
              <c:xMode val="edge"/>
              <c:yMode val="edge"/>
              <c:x val="0.85683508311461065"/>
              <c:y val="0.78608778069407992"/>
            </c:manualLayout>
          </c:layout>
          <c:overlay val="0"/>
        </c:title>
        <c:numFmt formatCode="General" sourceLinked="1"/>
        <c:majorTickMark val="out"/>
        <c:minorTickMark val="none"/>
        <c:tickLblPos val="nextTo"/>
        <c:crossAx val="233235968"/>
        <c:crosses val="autoZero"/>
        <c:crossBetween val="midCat"/>
      </c:valAx>
      <c:valAx>
        <c:axId val="233235968"/>
        <c:scaling>
          <c:orientation val="minMax"/>
          <c:min val="0"/>
        </c:scaling>
        <c:delete val="0"/>
        <c:axPos val="l"/>
        <c:majorGridlines/>
        <c:title>
          <c:tx>
            <c:rich>
              <a:bodyPr rot="0" vert="horz"/>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E</a:t>
                </a:r>
                <a:r>
                  <a:rPr lang="cs-CZ" sz="1200" b="0">
                    <a:latin typeface="Times New Roman" panose="02020603050405020304" pitchFamily="18" charset="0"/>
                    <a:cs typeface="Times New Roman" panose="02020603050405020304" pitchFamily="18" charset="0"/>
                  </a:rPr>
                  <a:t> (GPa)</a:t>
                </a:r>
              </a:p>
            </c:rich>
          </c:tx>
          <c:layout>
            <c:manualLayout>
              <c:xMode val="edge"/>
              <c:yMode val="edge"/>
              <c:x val="2.5157232704402517E-2"/>
              <c:y val="5.1223435780204891E-2"/>
            </c:manualLayout>
          </c:layout>
          <c:overlay val="0"/>
        </c:title>
        <c:numFmt formatCode="General" sourceLinked="1"/>
        <c:majorTickMark val="out"/>
        <c:minorTickMark val="none"/>
        <c:tickLblPos val="nextTo"/>
        <c:crossAx val="23322560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6072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cenda</dc:creator>
  <cp:lastModifiedBy>imhotep</cp:lastModifiedBy>
  <cp:revision>3</cp:revision>
  <cp:lastPrinted>2016-01-24T09:32:00Z</cp:lastPrinted>
  <dcterms:created xsi:type="dcterms:W3CDTF">2016-01-24T09:32:00Z</dcterms:created>
  <dcterms:modified xsi:type="dcterms:W3CDTF">2016-01-24T09:32:00Z</dcterms:modified>
</cp:coreProperties>
</file>